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jc w:val="both"/>
        <w:rPr>
          <w:rFonts w:ascii="Times New Roman" w:hAnsi="Times New Roman"/>
          <w:szCs w:val="28"/>
        </w:rPr>
      </w:pPr>
      <w:r>
        <w:rPr>
          <w:noProof/>
        </w:rPr>
        <mc:AlternateContent>
          <mc:Choice Requires="wps">
            <w:drawing>
              <wp:anchor distT="0" distB="0" distL="0" distR="0" simplePos="0" relativeHeight="251658242" behindDoc="0" locked="0" layoutInCell="0" hidden="0" allowOverlap="1">
                <wp:simplePos x="0" y="0"/>
                <wp:positionH relativeFrom="column">
                  <wp:align>left</wp:align>
                </wp:positionH>
                <wp:positionV relativeFrom="paragraph">
                  <wp:posOffset>0</wp:posOffset>
                </wp:positionV>
                <wp:extent cx="6480175" cy="2687955"/>
                <wp:effectExtent l="0" t="0" r="0" b="0"/>
                <wp:wrapTopAndBottom/>
                <wp:docPr id="2" name="Надпись 1"/>
                <wp:cNvGraphicFramePr/>
                <a:graphic xmlns:a="http://schemas.openxmlformats.org/drawingml/2006/main">
                  <a:graphicData uri="http://schemas.microsoft.com/office/word/2010/wordprocessingShape">
                    <wps:wsp>
                      <wps:cNvSpPr txBox="1">
                        <a:extLst>
                          <a:ext uri="smNativeData">
                            <sm:smNativeData xmlns:sm="smNativeData" val="SMDATA_14_sl3MXBMAAAAlAAAAEgAAAE0AAAAAAAAAAAAAAAAAAAAAA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"/>
                          </a:ext>
                        </a:extLst>
                      </wps:cNvSpPr>
                      <wps:spPr>
                        <a:xfrm>
                          <a:off x="0" y="0"/>
                          <a:ext cx="6480175" cy="2687955"/>
                        </a:xfrm>
                        <a:prstGeom prst="rect">
                          <a:avLst/>
                        </a:prstGeom>
                        <a:noFill/>
                        <a:ln w="12700">
                          <a:noFill/>
                        </a:ln>
                      </wps:spPr>
                      <wps:txbx>
                        <w:txbxContent>
                          <w:tbl>
                            <w:tblPr>
                              <w:name w:val="Таблица1"/>
                              <w:tabOrder w:val="0"/>
                              <w:jc w:val="left"/>
                              <w:tblInd w:w="108" w:type="dxa"/>
                              <w:tblW w:w="10200" w:type="dxa"/>
                            </w:tblPr>
                            <w:tblGrid>
                              <w:gridCol w:w="1984"/>
                              <w:gridCol w:w="850"/>
                              <w:gridCol w:w="1842"/>
                              <w:gridCol w:w="991"/>
                              <w:gridCol w:w="2692"/>
                              <w:gridCol w:w="1841"/>
                            </w:tblGrid>
                            <w:tr>
                              <w:trPr>
                                <w:trHeight w:val="711" w:hRule="atLeast"/>
                              </w:trPr>
                              <w:tc>
                                <w:tcPr>
                                  <w:tcW w:w="4676" w:type="dxa"/>
                                  <w:gridSpan w:val="3"/>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ind w:left="-108"/>
                                    <w:spacing w:after="200" w:line="276" w:lineRule="auto"/>
                                    <w:rPr>
                                      <w:rFonts w:ascii="Times New Roman" w:hAnsi="Times New Roman"/>
                                      <w:sz w:val="10"/>
                                      <w:szCs w:val="28"/>
                                      <w:lang w:val="ru-ru" w:bidi="ar-sa"/>
                                    </w:rPr>
                                  </w:pPr>
                                  <w:r>
                                    <w:rPr>
                                      <w:rFonts w:ascii="Calibri" w:hAnsi="Calibri" w:eastAsia="Calibri"/>
                                      <w:sz w:val="10"/>
                                      <w:szCs w:val="28"/>
                                    </w:rPr>
                                  </w:r>
                                  <w:r>
                                    <w:rPr>
                                      <w:noProof/>
                                    </w:rPr>
                                    <w:drawing>
                                      <wp:inline distT="0" distB="0" distL="0" distR="0">
                                        <wp:extent cx="2751455" cy="659765"/>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a:extLst>
                                                    <a:ext uri="smNativeData">
                                                      <sm:smNativeData xmlns:sm="smNativeData" val="SMDATA_16_sl3MX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6AAAAAAAAABAAAAAAAAAAAAAAAAAAAAAAAAAAAAAAAAAAAA7RAAAA8EAAAAAAAAAAAAAAAAAAA="/>
                                                    </a:ext>
                                                  </a:extLst>
                                                </pic:cNvPicPr>
                                              </pic:nvPicPr>
                                              <pic:blipFill>
                                                <a:blip r:embed="rId8"/>
                                                <a:stretch>
                                                  <a:fillRect/>
                                                </a:stretch>
                                              </pic:blipFill>
                                              <pic:spPr>
                                                <a:xfrm>
                                                  <a:off x="0" y="0"/>
                                                  <a:ext cx="2751455" cy="659765"/>
                                                </a:xfrm>
                                                <a:prstGeom prst="rect">
                                                  <a:avLst/>
                                                </a:prstGeom>
                                                <a:noFill/>
                                                <a:ln w="12700">
                                                  <a:noFill/>
                                                </a:ln>
                                              </pic:spPr>
                                            </pic:pic>
                                          </a:graphicData>
                                        </a:graphic>
                                      </wp:inline>
                                    </w:drawing>
                                  </w:r>
                                  <w:r>
                                    <w:rPr>
                                      <w:rFonts w:ascii="Calibri" w:hAnsi="Calibri" w:eastAsia="Calibri"/>
                                      <w:sz w:val="10"/>
                                      <w:szCs w:val="28"/>
                                    </w:rPr>
                                  </w:r>
                                  <w:r>
                                    <w:rPr>
                                      <w:rFonts w:ascii="Times New Roman" w:hAnsi="Times New Roman"/>
                                      <w:sz w:val="10"/>
                                      <w:szCs w:val="28"/>
                                      <w:lang w:val="ru-ru" w:bidi="ar-sa"/>
                                    </w:rPr>
                                  </w:r>
                                </w:p>
                              </w:tc>
                              <w:tc>
                                <w:tcPr>
                                  <w:tcW w:w="99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 w:val="26"/>
                                      <w:szCs w:val="26"/>
                                    </w:rPr>
                                  </w:pPr>
                                  <w:r>
                                    <w:rPr>
                                      <w:rFonts w:ascii="Times New Roman" w:hAnsi="Times New Roman"/>
                                      <w:sz w:val="26"/>
                                      <w:szCs w:val="26"/>
                                    </w:rPr>
                                  </w:r>
                                </w:p>
                                <w:p>
                                  <w:pPr>
                                    <w:spacing/>
                                    <w:jc w:val="both"/>
                                    <w:rPr>
                                      <w:rFonts w:ascii="Times New Roman" w:hAnsi="Times New Roman"/>
                                      <w:sz w:val="26"/>
                                      <w:szCs w:val="26"/>
                                    </w:rPr>
                                  </w:pPr>
                                  <w:r>
                                    <w:rPr>
                                      <w:rFonts w:ascii="Times New Roman" w:hAnsi="Times New Roman"/>
                                      <w:sz w:val="26"/>
                                      <w:szCs w:val="26"/>
                                    </w:rPr>
                                  </w:r>
                                </w:p>
                              </w:tc>
                              <w:tc>
                                <w:tcPr>
                                  <w:tcW w:w="4533" w:type="dxa"/>
                                  <w:gridSpan w:val="2"/>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 w:val="26"/>
                                      <w:szCs w:val="26"/>
                                    </w:rPr>
                                  </w:pPr>
                                  <w:r>
                                    <w:rPr>
                                      <w:rFonts w:ascii="Times New Roman" w:hAnsi="Times New Roman"/>
                                      <w:sz w:val="26"/>
                                      <w:szCs w:val="26"/>
                                    </w:rPr>
                                  </w:r>
                                </w:p>
                              </w:tc>
                            </w:tr>
                            <w:tr>
                              <w:trPr>
                                <w:trHeight w:val="1017" w:hRule="atLeast"/>
                              </w:trPr>
                              <w:tc>
                                <w:tcPr>
                                  <w:tcW w:w="4676" w:type="dxa"/>
                                  <w:gridSpan w:val="3"/>
                                  <w:tcMar>
                                    <w:top w:w="0" w:type="dxa"/>
                                    <w:left w:w="28" w:type="dxa"/>
                                    <w:bottom w:w="0" w:type="dxa"/>
                                    <w:right w:w="2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spacing w:before="60"/>
                                    <w:rPr>
                                      <w:sz w:val="24"/>
                                      <w:szCs w:val="24"/>
                                    </w:rPr>
                                  </w:pPr>
                                  <w:r>
                                    <w:rPr>
                                      <w:sz w:val="24"/>
                                      <w:szCs w:val="24"/>
                                    </w:rPr>
                                    <w:t>АО «АтомЭнергоСбыт»</w:t>
                                  </w:r>
                                </w:p>
                                <w:p>
                                  <w:pPr>
                                    <w:pStyle w:val="para5"/>
                                    <w:spacing w:before="120"/>
                                    <w:rPr>
                                      <w:sz w:val="24"/>
                                      <w:szCs w:val="24"/>
                                    </w:rPr>
                                  </w:pPr>
                                  <w:r>
                                    <w:rPr>
                                      <w:sz w:val="24"/>
                                      <w:szCs w:val="24"/>
                                    </w:rPr>
                                    <w:t>Филиал «КолАтомЭнергоСбыт»</w:t>
                                  </w:r>
                                </w:p>
                                <w:p>
                                  <w:pPr>
                                    <w:spacing/>
                                    <w:jc w:val="center"/>
                                    <w:rPr>
                                      <w:rFonts w:ascii="Times New Roman" w:hAnsi="Times New Roman"/>
                                      <w:b/>
                                      <w:szCs w:val="28"/>
                                    </w:rPr>
                                  </w:pPr>
                                  <w:r>
                                    <w:rPr>
                                      <w:rFonts w:ascii="Times New Roman" w:hAnsi="Times New Roman"/>
                                      <w:b/>
                                      <w:szCs w:val="28"/>
                                    </w:rPr>
                                  </w:r>
                                </w:p>
                                <w:p>
                                  <w:pPr>
                                    <w:spacing/>
                                    <w:jc w:val="center"/>
                                    <w:rPr>
                                      <w:rFonts w:ascii="Times New Roman" w:hAnsi="Times New Roman"/>
                                      <w:b/>
                                      <w:spacing w:val="40"/>
                                      <w:sz w:val="36"/>
                                      <w:szCs w:val="36"/>
                                    </w:rPr>
                                  </w:pPr>
                                  <w:r>
                                    <w:rPr>
                                      <w:rFonts w:ascii="Times New Roman" w:hAnsi="Times New Roman"/>
                                      <w:b/>
                                      <w:spacing w:val="40"/>
                                      <w:sz w:val="36"/>
                                      <w:szCs w:val="36"/>
                                    </w:rPr>
                                    <w:t>ПРОТОКОЛ</w:t>
                                  </w:r>
                                </w:p>
                              </w:tc>
                              <w:tc>
                                <w:tcPr>
                                  <w:tcW w:w="991" w:type="dxa"/>
                                  <w:vMerge w:val="restart"/>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Cs w:val="26"/>
                                    </w:rPr>
                                  </w:pPr>
                                  <w:r>
                                    <w:rPr>
                                      <w:rFonts w:ascii="Times New Roman" w:hAnsi="Times New Roman"/>
                                      <w:szCs w:val="26"/>
                                    </w:rPr>
                                  </w:r>
                                </w:p>
                              </w:tc>
                              <w:tc>
                                <w:tcPr>
                                  <w:tcW w:w="4533" w:type="dxa"/>
                                  <w:gridSpan w:val="2"/>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rPr>
                                  </w:pPr>
                                  <w:r>
                                    <w:rPr>
                                      <w:rFonts w:ascii="Times New Roman" w:hAnsi="Times New Roman"/>
                                    </w:rPr>
                                  </w:r>
                                </w:p>
                              </w:tc>
                            </w:tr>
                            <w:tr>
                              <w:trPr>
                                <w:trHeight w:val="357" w:hRule="atLeast"/>
                              </w:trPr>
                              <w:tc>
                                <w:tcPr>
                                  <w:tcW w:w="4676" w:type="dxa"/>
                                  <w:gridSpan w:val="3"/>
                                  <w:vMerge w:val="restart"/>
                                  <w:tcMar>
                                    <w:top w:w="0" w:type="dxa"/>
                                    <w:left w:w="28" w:type="dxa"/>
                                    <w:bottom w:w="0" w:type="dxa"/>
                                    <w:right w:w="2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pPr>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2692" w:type="dxa"/>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rPr>
                                  </w:pPr>
                                  <w:r>
                                    <w:rPr>
                                      <w:rFonts w:ascii="Times New Roman" w:hAnsi="Times New Roman"/>
                                    </w:rPr>
                                  </w:r>
                                </w:p>
                              </w:tc>
                              <w:tc>
                                <w:tcPr>
                                  <w:tcW w:w="184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rPr>
                                  </w:pPr>
                                  <w:r>
                                    <w:rPr>
                                      <w:rFonts w:ascii="Times New Roman" w:hAnsi="Times New Roman"/>
                                    </w:rPr>
                                  </w:r>
                                </w:p>
                              </w:tc>
                            </w:tr>
                            <w:tr>
                              <w:trPr>
                                <w:trHeight w:val="357" w:hRule="exact"/>
                              </w:trPr>
                              <w:tc>
                                <w:tcPr>
                                  <w:tcW w:w="4676" w:type="dxa"/>
                                  <w:gridSpan w:val="3"/>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2692" w:type="dxa"/>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 w:val="16"/>
                                      <w:szCs w:val="16"/>
                                    </w:rPr>
                                  </w:pPr>
                                  <w:r>
                                    <w:rPr>
                                      <w:rFonts w:ascii="Times New Roman" w:hAnsi="Times New Roman"/>
                                      <w:sz w:val="16"/>
                                      <w:szCs w:val="16"/>
                                    </w:rPr>
                                  </w:r>
                                </w:p>
                              </w:tc>
                              <w:tc>
                                <w:tcPr>
                                  <w:tcW w:w="184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 w:val="16"/>
                                      <w:szCs w:val="16"/>
                                    </w:rPr>
                                  </w:pPr>
                                  <w:r>
                                    <w:rPr>
                                      <w:rFonts w:ascii="Times New Roman" w:hAnsi="Times New Roman"/>
                                      <w:sz w:val="16"/>
                                      <w:szCs w:val="16"/>
                                    </w:rPr>
                                  </w:r>
                                </w:p>
                              </w:tc>
                            </w:tr>
                            <w:tr>
                              <w:trPr>
                                <w:trHeight w:val="92" w:hRule="atLeast"/>
                              </w:trPr>
                              <w:tc>
                                <w:tcPr>
                                  <w:tcW w:w="1984" w:type="dxa"/>
                                  <w:vAlign w:val="bottom"/>
                                  <w:tcMar>
                                    <w:top w:w="0" w:type="dxa"/>
                                    <w:left w:w="108" w:type="dxa"/>
                                    <w:bottom w:w="0" w:type="dxa"/>
                                    <w:right w:w="108" w:type="dxa"/>
                                  </w:tcMar>
                                  <w:tcBorders>
                                    <w:top w:val="nil" w:sz="0" w:space="0" w:color="000000" tmln="20, 20, 20, 0"/>
                                    <w:left w:val="nil" w:sz="0" w:space="0" w:color="000000" tmln="20, 20, 20, 0"/>
                                    <w:bottom w:val="single" w:sz="4" w:space="0" w:color="000000" tmln="10, 20, 20, 0"/>
                                    <w:right w:val="nil" w:sz="0" w:space="0" w:color="000000" tmln="20, 20, 20, 0"/>
                                    <w:tl2br w:val="nil" w:sz="0" w:space="0" w:color="000000" tmln="20, 20, 20, 0"/>
                                    <w:tr2bl w:val="nil" w:sz="0" w:space="0" w:color="000000" tmln="20, 20, 20, 0"/>
                                  </w:tcBorders>
                                  <w:tmTcPr id="1556897202" protected="0"/>
                                </w:tcPr>
                                <w:p>
                                  <w:pPr>
                                    <w:rPr>
                                      <w:rFonts w:ascii="Times New Roman" w:hAnsi="Times New Roman"/>
                                      <w:color w:val="000000"/>
                                      <w:szCs w:val="28"/>
                                    </w:rPr>
                                  </w:pPr>
                                  <w:r>
                                    <w:rPr>
                                      <w:rFonts w:ascii="Times New Roman" w:hAnsi="Times New Roman"/>
                                      <w:color w:val="000000"/>
                                      <w:szCs w:val="28"/>
                                    </w:rPr>
                                  </w:r>
                                </w:p>
                              </w:tc>
                              <w:tc>
                                <w:tcPr>
                                  <w:tcW w:w="850" w:type="dxa"/>
                                  <w:vAlign w:val="bottom"/>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ind w:left="29"/>
                                    <w:spacing/>
                                    <w:jc w:val="center"/>
                                    <w:rPr>
                                      <w:rFonts w:ascii="Times New Roman" w:hAnsi="Times New Roman"/>
                                      <w:color w:val="000000"/>
                                      <w:sz w:val="20"/>
                                    </w:rPr>
                                  </w:pPr>
                                  <w:r>
                                    <w:rPr>
                                      <w:rFonts w:ascii="Times New Roman" w:hAnsi="Times New Roman"/>
                                      <w:sz w:val="20"/>
                                    </w:rPr>
                                    <w:t>№</w:t>
                                  </w:r>
                                  <w:r>
                                    <w:rPr>
                                      <w:rFonts w:ascii="Times New Roman" w:hAnsi="Times New Roman"/>
                                      <w:color w:val="000000"/>
                                      <w:sz w:val="20"/>
                                    </w:rPr>
                                  </w:r>
                                </w:p>
                              </w:tc>
                              <w:tc>
                                <w:tcPr>
                                  <w:tcW w:w="1842" w:type="dxa"/>
                                  <w:vAlign w:val="bottom"/>
                                  <w:tcMar>
                                    <w:top w:w="0" w:type="dxa"/>
                                    <w:left w:w="108" w:type="dxa"/>
                                    <w:bottom w:w="0" w:type="dxa"/>
                                    <w:right w:w="108" w:type="dxa"/>
                                  </w:tcMar>
                                  <w:tcBorders>
                                    <w:top w:val="nil" w:sz="0" w:space="0" w:color="000000" tmln="20, 20, 20, 0"/>
                                    <w:left w:val="nil" w:sz="0" w:space="0" w:color="000000" tmln="20, 20, 20, 0"/>
                                    <w:bottom w:val="single" w:sz="4" w:space="0" w:color="000000" tmln="1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color w:val="000000"/>
                                      <w:szCs w:val="28"/>
                                    </w:rPr>
                                  </w:pPr>
                                  <w:r>
                                    <w:rPr>
                                      <w:rFonts w:ascii="Times New Roman" w:hAnsi="Times New Roman"/>
                                      <w:color w:val="000000"/>
                                      <w:szCs w:val="28"/>
                                    </w:rPr>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2692"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rPr>
                                      <w:rFonts w:ascii="Times New Roman" w:hAnsi="Times New Roman"/>
                                      <w:sz w:val="20"/>
                                    </w:rPr>
                                  </w:pPr>
                                  <w:r>
                                    <w:rPr>
                                      <w:rFonts w:ascii="Times New Roman" w:hAnsi="Times New Roman"/>
                                      <w:sz w:val="20"/>
                                    </w:rPr>
                                  </w:r>
                                </w:p>
                              </w:tc>
                              <w:tc>
                                <w:tcPr>
                                  <w:tcW w:w="184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 w:val="20"/>
                                    </w:rPr>
                                  </w:pPr>
                                  <w:r>
                                    <w:rPr>
                                      <w:rFonts w:ascii="Times New Roman" w:hAnsi="Times New Roman"/>
                                      <w:sz w:val="20"/>
                                    </w:rPr>
                                  </w:r>
                                </w:p>
                              </w:tc>
                            </w:tr>
                            <w:tr>
                              <w:trPr>
                                <w:trHeight w:val="92" w:hRule="atLeast"/>
                              </w:trPr>
                              <w:tc>
                                <w:tcPr>
                                  <w:tcW w:w="4676" w:type="dxa"/>
                                  <w:gridSpan w:val="3"/>
                                  <w:vAlign w:val="bottom"/>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color w:val="000000"/>
                                      <w:sz w:val="16"/>
                                      <w:szCs w:val="16"/>
                                    </w:rPr>
                                  </w:pPr>
                                  <w:r>
                                    <w:rPr>
                                      <w:rFonts w:ascii="Times New Roman" w:hAnsi="Times New Roman"/>
                                      <w:color w:val="000000"/>
                                      <w:sz w:val="16"/>
                                      <w:szCs w:val="16"/>
                                    </w:rPr>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4533" w:type="dxa"/>
                                  <w:gridSpan w:val="2"/>
                                  <w:vMerge w:val="restart"/>
                                  <w:vAlign w:val="bottom"/>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spacing/>
                                    <w:jc w:val="left"/>
                                    <w:rPr>
                                      <w:sz w:val="28"/>
                                      <w:szCs w:val="28"/>
                                    </w:rPr>
                                  </w:pPr>
                                  <w:r>
                                    <w:rPr>
                                      <w:sz w:val="28"/>
                                      <w:szCs w:val="28"/>
                                    </w:rPr>
                                  </w:r>
                                </w:p>
                              </w:tc>
                            </w:tr>
                            <w:tr>
                              <w:trPr>
                                <w:trHeight w:val="92" w:hRule="atLeast"/>
                              </w:trPr>
                              <w:tc>
                                <w:tcPr>
                                  <w:tcW w:w="4676" w:type="dxa"/>
                                  <w:gridSpan w:val="3"/>
                                  <w:vAlign w:val="bottom"/>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rPr>
                                      <w:b w:val="0"/>
                                      <w:sz w:val="24"/>
                                      <w:szCs w:val="24"/>
                                    </w:rPr>
                                  </w:pPr>
                                  <w:r>
                                    <w:rPr>
                                      <w:b w:val="0"/>
                                      <w:sz w:val="24"/>
                                      <w:szCs w:val="24"/>
                                    </w:rPr>
                                    <w:t>г. Мурманск</w:t>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4533" w:type="dxa"/>
                                  <w:gridSpan w:val="2"/>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r>
                          </w:tbl>
                        </w:txbxContent>
                      </wps:txbx>
                      <wps:bodyPr spcFirstLastPara="1" vertOverflow="clip" horzOverflow="clip" wrap="none" lIns="0" tIns="0" rIns="0" bIns="0">
                        <a:prstTxWarp prst="textNoShape">
                          <a:avLst/>
                        </a:prstTxWarp>
                        <a:spAutoFit/>
                      </wps:bodyPr>
                    </wps:wsp>
                  </a:graphicData>
                </a:graphic>
              </wp:anchor>
            </w:drawing>
          </mc:Choice>
          <mc:Fallback>
            <w:pict>
              <v:shapetype id="_x0000_t202" coordsize="21600,21600" o:spt="202" path="m,l,21600r21600,l21600,xe">
                <v:path gradientshapeok="t" o:connecttype="rect"/>
              </v:shapetype>
              <v:shape id="Надпись 1" o:spid="_x0000_s1026" type="#_x0000_t202" style="position:absolute;mso-position-horizontal:left;margin-top:0.00pt;width:510.25pt;height:211.65pt;mso-wrap-distance-left:0.00pt;mso-wrap-distance-top:0.00pt;mso-wrap-distance-right:0.00pt;mso-wrap-distance-bottom:0.00pt;mso-wrap-style:none" stroked="f" filled="f" v:ext="SMDATA_14_sl3MXBMAAAAlAAAAEgAAAE0AAAAAAAAAAAAAAAAAAAAAA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" o:insetmode="custom">
                <w10:wrap type="topAndBottom" anchorx="text" anchory="text"/>
                <v:textbox style="mso-fit-shape-to-text:t" inset="0.0pt,0.0pt,0.0pt,0.0pt">
                  <w:txbxContent>
                    <w:tbl>
                      <w:tblPr>
                        <w:name w:val="Таблица1"/>
                        <w:tabOrder w:val="0"/>
                        <w:jc w:val="left"/>
                        <w:tblInd w:w="108" w:type="dxa"/>
                        <w:tblW w:w="10200" w:type="dxa"/>
                      </w:tblPr>
                      <w:tblGrid>
                        <w:gridCol w:w="1984"/>
                        <w:gridCol w:w="850"/>
                        <w:gridCol w:w="1842"/>
                        <w:gridCol w:w="991"/>
                        <w:gridCol w:w="2692"/>
                        <w:gridCol w:w="1841"/>
                      </w:tblGrid>
                      <w:tr>
                        <w:trPr>
                          <w:trHeight w:val="711" w:hRule="atLeast"/>
                        </w:trPr>
                        <w:tc>
                          <w:tcPr>
                            <w:tcW w:w="4676" w:type="dxa"/>
                            <w:gridSpan w:val="3"/>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ind w:left="-108"/>
                              <w:spacing w:after="200" w:line="276" w:lineRule="auto"/>
                              <w:rPr>
                                <w:rFonts w:ascii="Times New Roman" w:hAnsi="Times New Roman"/>
                                <w:sz w:val="10"/>
                                <w:szCs w:val="28"/>
                                <w:lang w:val="ru-ru" w:bidi="ar-sa"/>
                              </w:rPr>
                            </w:pPr>
                            <w:r>
                              <w:rPr>
                                <w:rFonts w:ascii="Calibri" w:hAnsi="Calibri" w:eastAsia="Calibri"/>
                                <w:sz w:val="10"/>
                                <w:szCs w:val="28"/>
                              </w:rPr>
                            </w:r>
                            <w:r>
                              <w:rPr>
                                <w:noProof/>
                              </w:rPr>
                              <w:drawing>
                                <wp:inline distT="0" distB="0" distL="0" distR="0">
                                  <wp:extent cx="2751455" cy="659765"/>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a:extLst>
                                              <a:ext uri="smNativeData">
                                                <sm:smNativeData xmlns:sm="smNativeData" val="SMDATA_16_sl3MX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6AAAAAAAAABAAAAAAAAAAAAAAAAAAAAAAAAAAAAAAAAAAAA7RAAAA8EAAAAAAAAAAAAAAAAAAA="/>
                                              </a:ext>
                                            </a:extLst>
                                          </pic:cNvPicPr>
                                        </pic:nvPicPr>
                                        <pic:blipFill>
                                          <a:blip r:embed="rId9"/>
                                          <a:stretch>
                                            <a:fillRect/>
                                          </a:stretch>
                                        </pic:blipFill>
                                        <pic:spPr>
                                          <a:xfrm>
                                            <a:off x="0" y="0"/>
                                            <a:ext cx="2751455" cy="659765"/>
                                          </a:xfrm>
                                          <a:prstGeom prst="rect">
                                            <a:avLst/>
                                          </a:prstGeom>
                                          <a:noFill/>
                                          <a:ln w="12700">
                                            <a:noFill/>
                                          </a:ln>
                                        </pic:spPr>
                                      </pic:pic>
                                    </a:graphicData>
                                  </a:graphic>
                                </wp:inline>
                              </w:drawing>
                            </w:r>
                            <w:r>
                              <w:rPr>
                                <w:rFonts w:ascii="Calibri" w:hAnsi="Calibri" w:eastAsia="Calibri"/>
                                <w:sz w:val="10"/>
                                <w:szCs w:val="28"/>
                              </w:rPr>
                            </w:r>
                            <w:r>
                              <w:rPr>
                                <w:rFonts w:ascii="Times New Roman" w:hAnsi="Times New Roman"/>
                                <w:sz w:val="10"/>
                                <w:szCs w:val="28"/>
                                <w:lang w:val="ru-ru" w:bidi="ar-sa"/>
                              </w:rPr>
                            </w:r>
                          </w:p>
                        </w:tc>
                        <w:tc>
                          <w:tcPr>
                            <w:tcW w:w="99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 w:val="26"/>
                                <w:szCs w:val="26"/>
                              </w:rPr>
                            </w:pPr>
                            <w:r>
                              <w:rPr>
                                <w:rFonts w:ascii="Times New Roman" w:hAnsi="Times New Roman"/>
                                <w:sz w:val="26"/>
                                <w:szCs w:val="26"/>
                              </w:rPr>
                            </w:r>
                          </w:p>
                          <w:p>
                            <w:pPr>
                              <w:spacing/>
                              <w:jc w:val="both"/>
                              <w:rPr>
                                <w:rFonts w:ascii="Times New Roman" w:hAnsi="Times New Roman"/>
                                <w:sz w:val="26"/>
                                <w:szCs w:val="26"/>
                              </w:rPr>
                            </w:pPr>
                            <w:r>
                              <w:rPr>
                                <w:rFonts w:ascii="Times New Roman" w:hAnsi="Times New Roman"/>
                                <w:sz w:val="26"/>
                                <w:szCs w:val="26"/>
                              </w:rPr>
                            </w:r>
                          </w:p>
                        </w:tc>
                        <w:tc>
                          <w:tcPr>
                            <w:tcW w:w="4533" w:type="dxa"/>
                            <w:gridSpan w:val="2"/>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 w:val="26"/>
                                <w:szCs w:val="26"/>
                              </w:rPr>
                            </w:pPr>
                            <w:r>
                              <w:rPr>
                                <w:rFonts w:ascii="Times New Roman" w:hAnsi="Times New Roman"/>
                                <w:sz w:val="26"/>
                                <w:szCs w:val="26"/>
                              </w:rPr>
                            </w:r>
                          </w:p>
                        </w:tc>
                      </w:tr>
                      <w:tr>
                        <w:trPr>
                          <w:trHeight w:val="1017" w:hRule="atLeast"/>
                        </w:trPr>
                        <w:tc>
                          <w:tcPr>
                            <w:tcW w:w="4676" w:type="dxa"/>
                            <w:gridSpan w:val="3"/>
                            <w:tcMar>
                              <w:top w:w="0" w:type="dxa"/>
                              <w:left w:w="28" w:type="dxa"/>
                              <w:bottom w:w="0" w:type="dxa"/>
                              <w:right w:w="2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spacing w:before="60"/>
                              <w:rPr>
                                <w:sz w:val="24"/>
                                <w:szCs w:val="24"/>
                              </w:rPr>
                            </w:pPr>
                            <w:r>
                              <w:rPr>
                                <w:sz w:val="24"/>
                                <w:szCs w:val="24"/>
                              </w:rPr>
                              <w:t>АО «АтомЭнергоСбыт»</w:t>
                            </w:r>
                          </w:p>
                          <w:p>
                            <w:pPr>
                              <w:pStyle w:val="para5"/>
                              <w:spacing w:before="120"/>
                              <w:rPr>
                                <w:sz w:val="24"/>
                                <w:szCs w:val="24"/>
                              </w:rPr>
                            </w:pPr>
                            <w:r>
                              <w:rPr>
                                <w:sz w:val="24"/>
                                <w:szCs w:val="24"/>
                              </w:rPr>
                              <w:t>Филиал «КолАтомЭнергоСбыт»</w:t>
                            </w:r>
                          </w:p>
                          <w:p>
                            <w:pPr>
                              <w:spacing/>
                              <w:jc w:val="center"/>
                              <w:rPr>
                                <w:rFonts w:ascii="Times New Roman" w:hAnsi="Times New Roman"/>
                                <w:b/>
                                <w:szCs w:val="28"/>
                              </w:rPr>
                            </w:pPr>
                            <w:r>
                              <w:rPr>
                                <w:rFonts w:ascii="Times New Roman" w:hAnsi="Times New Roman"/>
                                <w:b/>
                                <w:szCs w:val="28"/>
                              </w:rPr>
                            </w:r>
                          </w:p>
                          <w:p>
                            <w:pPr>
                              <w:spacing/>
                              <w:jc w:val="center"/>
                              <w:rPr>
                                <w:rFonts w:ascii="Times New Roman" w:hAnsi="Times New Roman"/>
                                <w:b/>
                                <w:spacing w:val="40"/>
                                <w:sz w:val="36"/>
                                <w:szCs w:val="36"/>
                              </w:rPr>
                            </w:pPr>
                            <w:r>
                              <w:rPr>
                                <w:rFonts w:ascii="Times New Roman" w:hAnsi="Times New Roman"/>
                                <w:b/>
                                <w:spacing w:val="40"/>
                                <w:sz w:val="36"/>
                                <w:szCs w:val="36"/>
                              </w:rPr>
                              <w:t>ПРОТОКОЛ</w:t>
                            </w:r>
                          </w:p>
                        </w:tc>
                        <w:tc>
                          <w:tcPr>
                            <w:tcW w:w="991" w:type="dxa"/>
                            <w:vMerge w:val="restart"/>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Cs w:val="26"/>
                              </w:rPr>
                            </w:pPr>
                            <w:r>
                              <w:rPr>
                                <w:rFonts w:ascii="Times New Roman" w:hAnsi="Times New Roman"/>
                                <w:szCs w:val="26"/>
                              </w:rPr>
                            </w:r>
                          </w:p>
                        </w:tc>
                        <w:tc>
                          <w:tcPr>
                            <w:tcW w:w="4533" w:type="dxa"/>
                            <w:gridSpan w:val="2"/>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rPr>
                            </w:pPr>
                            <w:r>
                              <w:rPr>
                                <w:rFonts w:ascii="Times New Roman" w:hAnsi="Times New Roman"/>
                              </w:rPr>
                            </w:r>
                          </w:p>
                        </w:tc>
                      </w:tr>
                      <w:tr>
                        <w:trPr>
                          <w:trHeight w:val="357" w:hRule="atLeast"/>
                        </w:trPr>
                        <w:tc>
                          <w:tcPr>
                            <w:tcW w:w="4676" w:type="dxa"/>
                            <w:gridSpan w:val="3"/>
                            <w:vMerge w:val="restart"/>
                            <w:tcMar>
                              <w:top w:w="0" w:type="dxa"/>
                              <w:left w:w="28" w:type="dxa"/>
                              <w:bottom w:w="0" w:type="dxa"/>
                              <w:right w:w="2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pPr>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2692" w:type="dxa"/>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rPr>
                            </w:pPr>
                            <w:r>
                              <w:rPr>
                                <w:rFonts w:ascii="Times New Roman" w:hAnsi="Times New Roman"/>
                              </w:rPr>
                            </w:r>
                          </w:p>
                        </w:tc>
                        <w:tc>
                          <w:tcPr>
                            <w:tcW w:w="184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rPr>
                            </w:pPr>
                            <w:r>
                              <w:rPr>
                                <w:rFonts w:ascii="Times New Roman" w:hAnsi="Times New Roman"/>
                              </w:rPr>
                            </w:r>
                          </w:p>
                        </w:tc>
                      </w:tr>
                      <w:tr>
                        <w:trPr>
                          <w:trHeight w:val="357" w:hRule="exact"/>
                        </w:trPr>
                        <w:tc>
                          <w:tcPr>
                            <w:tcW w:w="4676" w:type="dxa"/>
                            <w:gridSpan w:val="3"/>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2692" w:type="dxa"/>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 w:val="16"/>
                                <w:szCs w:val="16"/>
                              </w:rPr>
                            </w:pPr>
                            <w:r>
                              <w:rPr>
                                <w:rFonts w:ascii="Times New Roman" w:hAnsi="Times New Roman"/>
                                <w:sz w:val="16"/>
                                <w:szCs w:val="16"/>
                              </w:rPr>
                            </w:r>
                          </w:p>
                        </w:tc>
                        <w:tc>
                          <w:tcPr>
                            <w:tcW w:w="184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 w:val="16"/>
                                <w:szCs w:val="16"/>
                              </w:rPr>
                            </w:pPr>
                            <w:r>
                              <w:rPr>
                                <w:rFonts w:ascii="Times New Roman" w:hAnsi="Times New Roman"/>
                                <w:sz w:val="16"/>
                                <w:szCs w:val="16"/>
                              </w:rPr>
                            </w:r>
                          </w:p>
                        </w:tc>
                      </w:tr>
                      <w:tr>
                        <w:trPr>
                          <w:trHeight w:val="92" w:hRule="atLeast"/>
                        </w:trPr>
                        <w:tc>
                          <w:tcPr>
                            <w:tcW w:w="1984" w:type="dxa"/>
                            <w:vAlign w:val="bottom"/>
                            <w:tcMar>
                              <w:top w:w="0" w:type="dxa"/>
                              <w:left w:w="108" w:type="dxa"/>
                              <w:bottom w:w="0" w:type="dxa"/>
                              <w:right w:w="108" w:type="dxa"/>
                            </w:tcMar>
                            <w:tcBorders>
                              <w:top w:val="nil" w:sz="0" w:space="0" w:color="000000" tmln="20, 20, 20, 0"/>
                              <w:left w:val="nil" w:sz="0" w:space="0" w:color="000000" tmln="20, 20, 20, 0"/>
                              <w:bottom w:val="single" w:sz="4" w:space="0" w:color="000000" tmln="10, 20, 20, 0"/>
                              <w:right w:val="nil" w:sz="0" w:space="0" w:color="000000" tmln="20, 20, 20, 0"/>
                              <w:tl2br w:val="nil" w:sz="0" w:space="0" w:color="000000" tmln="20, 20, 20, 0"/>
                              <w:tr2bl w:val="nil" w:sz="0" w:space="0" w:color="000000" tmln="20, 20, 20, 0"/>
                            </w:tcBorders>
                            <w:tmTcPr id="1556897202" protected="0"/>
                          </w:tcPr>
                          <w:p>
                            <w:pPr>
                              <w:rPr>
                                <w:rFonts w:ascii="Times New Roman" w:hAnsi="Times New Roman"/>
                                <w:color w:val="000000"/>
                                <w:szCs w:val="28"/>
                              </w:rPr>
                            </w:pPr>
                            <w:r>
                              <w:rPr>
                                <w:rFonts w:ascii="Times New Roman" w:hAnsi="Times New Roman"/>
                                <w:color w:val="000000"/>
                                <w:szCs w:val="28"/>
                              </w:rPr>
                            </w:r>
                          </w:p>
                        </w:tc>
                        <w:tc>
                          <w:tcPr>
                            <w:tcW w:w="850" w:type="dxa"/>
                            <w:vAlign w:val="bottom"/>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ind w:left="29"/>
                              <w:spacing/>
                              <w:jc w:val="center"/>
                              <w:rPr>
                                <w:rFonts w:ascii="Times New Roman" w:hAnsi="Times New Roman"/>
                                <w:color w:val="000000"/>
                                <w:sz w:val="20"/>
                              </w:rPr>
                            </w:pPr>
                            <w:r>
                              <w:rPr>
                                <w:rFonts w:ascii="Times New Roman" w:hAnsi="Times New Roman"/>
                                <w:sz w:val="20"/>
                              </w:rPr>
                              <w:t>№</w:t>
                            </w:r>
                            <w:r>
                              <w:rPr>
                                <w:rFonts w:ascii="Times New Roman" w:hAnsi="Times New Roman"/>
                                <w:color w:val="000000"/>
                                <w:sz w:val="20"/>
                              </w:rPr>
                            </w:r>
                          </w:p>
                        </w:tc>
                        <w:tc>
                          <w:tcPr>
                            <w:tcW w:w="1842" w:type="dxa"/>
                            <w:vAlign w:val="bottom"/>
                            <w:tcMar>
                              <w:top w:w="0" w:type="dxa"/>
                              <w:left w:w="108" w:type="dxa"/>
                              <w:bottom w:w="0" w:type="dxa"/>
                              <w:right w:w="108" w:type="dxa"/>
                            </w:tcMar>
                            <w:tcBorders>
                              <w:top w:val="nil" w:sz="0" w:space="0" w:color="000000" tmln="20, 20, 20, 0"/>
                              <w:left w:val="nil" w:sz="0" w:space="0" w:color="000000" tmln="20, 20, 20, 0"/>
                              <w:bottom w:val="single" w:sz="4" w:space="0" w:color="000000" tmln="1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color w:val="000000"/>
                                <w:szCs w:val="28"/>
                              </w:rPr>
                            </w:pPr>
                            <w:r>
                              <w:rPr>
                                <w:rFonts w:ascii="Times New Roman" w:hAnsi="Times New Roman"/>
                                <w:color w:val="000000"/>
                                <w:szCs w:val="28"/>
                              </w:rPr>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2692"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rPr>
                                <w:rFonts w:ascii="Times New Roman" w:hAnsi="Times New Roman"/>
                                <w:sz w:val="20"/>
                              </w:rPr>
                            </w:pPr>
                            <w:r>
                              <w:rPr>
                                <w:rFonts w:ascii="Times New Roman" w:hAnsi="Times New Roman"/>
                                <w:sz w:val="20"/>
                              </w:rPr>
                            </w:r>
                          </w:p>
                        </w:tc>
                        <w:tc>
                          <w:tcPr>
                            <w:tcW w:w="1841"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sz w:val="20"/>
                              </w:rPr>
                            </w:pPr>
                            <w:r>
                              <w:rPr>
                                <w:rFonts w:ascii="Times New Roman" w:hAnsi="Times New Roman"/>
                                <w:sz w:val="20"/>
                              </w:rPr>
                            </w:r>
                          </w:p>
                        </w:tc>
                      </w:tr>
                      <w:tr>
                        <w:trPr>
                          <w:trHeight w:val="92" w:hRule="atLeast"/>
                        </w:trPr>
                        <w:tc>
                          <w:tcPr>
                            <w:tcW w:w="4676" w:type="dxa"/>
                            <w:gridSpan w:val="3"/>
                            <w:vAlign w:val="bottom"/>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center"/>
                              <w:rPr>
                                <w:rFonts w:ascii="Times New Roman" w:hAnsi="Times New Roman"/>
                                <w:color w:val="000000"/>
                                <w:sz w:val="16"/>
                                <w:szCs w:val="16"/>
                              </w:rPr>
                            </w:pPr>
                            <w:r>
                              <w:rPr>
                                <w:rFonts w:ascii="Times New Roman" w:hAnsi="Times New Roman"/>
                                <w:color w:val="000000"/>
                                <w:sz w:val="16"/>
                                <w:szCs w:val="16"/>
                              </w:rPr>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4533" w:type="dxa"/>
                            <w:gridSpan w:val="2"/>
                            <w:vMerge w:val="restart"/>
                            <w:vAlign w:val="bottom"/>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spacing/>
                              <w:jc w:val="left"/>
                              <w:rPr>
                                <w:sz w:val="28"/>
                                <w:szCs w:val="28"/>
                              </w:rPr>
                            </w:pPr>
                            <w:r>
                              <w:rPr>
                                <w:sz w:val="28"/>
                                <w:szCs w:val="28"/>
                              </w:rPr>
                            </w:r>
                          </w:p>
                        </w:tc>
                      </w:tr>
                      <w:tr>
                        <w:trPr>
                          <w:trHeight w:val="92" w:hRule="atLeast"/>
                        </w:trPr>
                        <w:tc>
                          <w:tcPr>
                            <w:tcW w:w="4676" w:type="dxa"/>
                            <w:gridSpan w:val="3"/>
                            <w:vAlign w:val="bottom"/>
                            <w:tcMar>
                              <w:top w:w="0" w:type="dxa"/>
                              <w:left w:w="0" w:type="dxa"/>
                              <w:bottom w:w="0" w:type="dxa"/>
                              <w:right w:w="0"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pStyle w:val="para5"/>
                              <w:rPr>
                                <w:b w:val="0"/>
                                <w:sz w:val="24"/>
                                <w:szCs w:val="24"/>
                              </w:rPr>
                            </w:pPr>
                            <w:r>
                              <w:rPr>
                                <w:b w:val="0"/>
                                <w:sz w:val="24"/>
                                <w:szCs w:val="24"/>
                              </w:rPr>
                              <w:t>г. Мурманск</w:t>
                            </w:r>
                          </w:p>
                        </w:tc>
                        <w:tc>
                          <w:tcPr>
                            <w:tcW w:w="991" w:type="dxa"/>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c>
                          <w:tcPr>
                            <w:tcW w:w="4533" w:type="dxa"/>
                            <w:gridSpan w:val="2"/>
                            <w:vMerge/>
                            <w:vAlign w:val="center"/>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tc>
                      </w:tr>
                    </w:tbl>
                  </w:txbxContent>
                </v:textbox>
              </v:shape>
            </w:pict>
          </mc:Fallback>
        </mc:AlternateContent>
      </w:r>
      <w:r>
        <w:rPr>
          <w:b w:val="0"/>
          <w:sz w:val="24"/>
          <w:szCs w:val="24"/>
        </w:rPr>
      </w:r>
    </w:p>
    <w:p>
      <w:pPr>
        <w:spacing/>
        <w:jc w:val="center"/>
        <w:rPr>
          <w:rFonts w:ascii="Times New Roman" w:hAnsi="Times New Roman"/>
          <w:b/>
          <w:szCs w:val="28"/>
        </w:rPr>
      </w:pPr>
      <w:r>
        <w:rPr>
          <w:rFonts w:ascii="Times New Roman" w:hAnsi="Times New Roman"/>
          <w:b/>
          <w:szCs w:val="28"/>
        </w:rPr>
        <w:t xml:space="preserve">Рабочее совещание Филиала «КолАтомЭнергоСбыт» </w:t>
      </w:r>
    </w:p>
    <w:p>
      <w:pPr>
        <w:spacing/>
        <w:jc w:val="center"/>
        <w:rPr>
          <w:rFonts w:ascii="Times New Roman" w:hAnsi="Times New Roman"/>
          <w:b/>
          <w:szCs w:val="28"/>
        </w:rPr>
      </w:pPr>
      <w:r>
        <w:rPr>
          <w:rFonts w:ascii="Times New Roman" w:hAnsi="Times New Roman"/>
          <w:b/>
          <w:szCs w:val="28"/>
        </w:rPr>
        <w:t>СНТСН «Полярная усадьба»</w:t>
      </w:r>
    </w:p>
    <w:p>
      <w:pPr>
        <w:spacing/>
        <w:jc w:val="center"/>
        <w:rPr>
          <w:rFonts w:ascii="Times New Roman" w:hAnsi="Times New Roman"/>
          <w:b/>
          <w:szCs w:val="28"/>
        </w:rPr>
      </w:pPr>
      <w:r>
        <w:rPr>
          <w:rFonts w:ascii="Times New Roman" w:hAnsi="Times New Roman"/>
          <w:b/>
          <w:szCs w:val="28"/>
        </w:rPr>
      </w:r>
    </w:p>
    <w:p>
      <w:pPr>
        <w:spacing/>
        <w:jc w:val="both"/>
        <w:rPr>
          <w:rFonts w:ascii="Times New Roman" w:hAnsi="Times New Roman"/>
          <w:szCs w:val="28"/>
        </w:rPr>
      </w:pPr>
      <w:r>
        <w:rPr>
          <w:rFonts w:ascii="Times New Roman" w:hAnsi="Times New Roman"/>
          <w:b/>
          <w:szCs w:val="28"/>
        </w:rPr>
        <w:t>Дата проведения</w:t>
      </w:r>
      <w:r>
        <w:rPr>
          <w:rFonts w:ascii="Times New Roman" w:hAnsi="Times New Roman"/>
          <w:szCs w:val="28"/>
        </w:rPr>
        <w:t>: 16.04.2019</w:t>
      </w:r>
    </w:p>
    <w:p>
      <w:pPr>
        <w:spacing/>
        <w:jc w:val="both"/>
        <w:rPr>
          <w:rFonts w:ascii="Times New Roman" w:hAnsi="Times New Roman"/>
          <w:szCs w:val="28"/>
        </w:rPr>
      </w:pPr>
      <w:r>
        <w:rPr>
          <w:rFonts w:ascii="Times New Roman" w:hAnsi="Times New Roman"/>
          <w:szCs w:val="28"/>
        </w:rPr>
      </w:r>
    </w:p>
    <w:p>
      <w:pPr>
        <w:spacing w:after="120"/>
        <w:rPr>
          <w:rFonts w:ascii="Times New Roman" w:hAnsi="Times New Roman"/>
          <w:b/>
          <w:szCs w:val="28"/>
        </w:rPr>
      </w:pPr>
      <w:r>
        <w:rPr>
          <w:rFonts w:ascii="Times New Roman" w:hAnsi="Times New Roman"/>
          <w:b/>
          <w:szCs w:val="28"/>
        </w:rPr>
        <w:t>Присутствующие:</w:t>
      </w:r>
    </w:p>
    <w:p>
      <w:pPr>
        <w:rPr>
          <w:rFonts w:ascii="Times New Roman" w:hAnsi="Times New Roman"/>
          <w:szCs w:val="28"/>
          <w:u w:color="auto" w:val="single"/>
        </w:rPr>
      </w:pPr>
      <w:r>
        <w:rPr>
          <w:rFonts w:ascii="Times New Roman" w:hAnsi="Times New Roman"/>
          <w:szCs w:val="28"/>
          <w:u w:color="auto" w:val="single"/>
        </w:rPr>
        <w:t xml:space="preserve">Представители филиала «КолАтомЭнергоСбыт» АО «АтомЭнергоСбыт»: </w:t>
      </w:r>
    </w:p>
    <w:p>
      <w:pPr>
        <w:ind w:firstLine="708"/>
        <w:rPr>
          <w:rFonts w:ascii="Times New Roman" w:hAnsi="Times New Roman"/>
          <w:szCs w:val="28"/>
        </w:rPr>
      </w:pPr>
      <w:r>
        <w:rPr>
          <w:rFonts w:ascii="Times New Roman" w:hAnsi="Times New Roman"/>
          <w:szCs w:val="28"/>
        </w:rPr>
        <w:t>Котликов Валерий Борисович – заместитель директора филиала по сбыту электрической энергии;</w:t>
      </w:r>
    </w:p>
    <w:p>
      <w:pPr>
        <w:ind w:firstLine="708"/>
        <w:spacing/>
        <w:jc w:val="both"/>
        <w:rPr>
          <w:rFonts w:ascii="Times New Roman" w:hAnsi="Times New Roman"/>
          <w:szCs w:val="28"/>
        </w:rPr>
      </w:pPr>
      <w:r>
        <w:rPr>
          <w:rFonts w:ascii="Times New Roman" w:hAnsi="Times New Roman"/>
          <w:szCs w:val="28"/>
        </w:rPr>
        <w:t>Лукичев Сергей Владимирович – руководитель Северного отделения;</w:t>
      </w:r>
      <w:r>
        <w:rPr>
          <w:rFonts w:ascii="Times New Roman" w:hAnsi="Times New Roman" w:hint="eastAsia"/>
          <w:szCs w:val="28"/>
        </w:rPr>
        <w:t xml:space="preserve"> </w:t>
      </w:r>
      <w:r>
        <w:rPr>
          <w:rFonts w:ascii="Times New Roman" w:hAnsi="Times New Roman"/>
          <w:szCs w:val="28"/>
        </w:rPr>
      </w:r>
    </w:p>
    <w:p>
      <w:pPr>
        <w:ind w:firstLine="708"/>
        <w:spacing/>
        <w:jc w:val="both"/>
        <w:rPr>
          <w:rFonts w:ascii="Times New Roman" w:hAnsi="Times New Roman"/>
          <w:szCs w:val="28"/>
        </w:rPr>
      </w:pPr>
      <w:r>
        <w:rPr>
          <w:rFonts w:ascii="Times New Roman" w:hAnsi="Times New Roman"/>
          <w:szCs w:val="28"/>
        </w:rPr>
        <w:t>Коротков Дмитрий Сергеевич – руководитель Кольского участка Северного отделения;</w:t>
      </w:r>
    </w:p>
    <w:p>
      <w:pPr>
        <w:ind w:firstLine="708"/>
        <w:spacing/>
        <w:jc w:val="both"/>
        <w:rPr>
          <w:rFonts w:ascii="Times New Roman" w:hAnsi="Times New Roman"/>
          <w:szCs w:val="28"/>
        </w:rPr>
      </w:pPr>
      <w:r>
        <w:rPr>
          <w:rFonts w:ascii="Times New Roman" w:hAnsi="Times New Roman"/>
          <w:szCs w:val="28"/>
        </w:rPr>
        <w:t>Стократская Юлия Владимировна – ведущий специалист Северного отделения.</w:t>
      </w:r>
      <w:r>
        <w:rPr>
          <w:rFonts w:ascii="Times New Roman" w:hAnsi="Times New Roman" w:hint="eastAsia"/>
          <w:szCs w:val="28"/>
        </w:rPr>
        <w:t xml:space="preserve"> </w:t>
      </w:r>
      <w:r>
        <w:rPr>
          <w:rFonts w:ascii="Times New Roman" w:hAnsi="Times New Roman"/>
          <w:szCs w:val="28"/>
        </w:rPr>
      </w:r>
    </w:p>
    <w:p>
      <w:pPr>
        <w:ind w:firstLine="709"/>
        <w:spacing/>
        <w:jc w:val="both"/>
        <w:rPr>
          <w:rFonts w:ascii="Times New Roman" w:hAnsi="Times New Roman"/>
          <w:szCs w:val="28"/>
        </w:rPr>
      </w:pPr>
      <w:r>
        <w:rPr>
          <w:rFonts w:ascii="Times New Roman" w:hAnsi="Times New Roman"/>
          <w:szCs w:val="28"/>
        </w:rPr>
      </w:r>
    </w:p>
    <w:p>
      <w:pPr>
        <w:spacing/>
        <w:jc w:val="both"/>
        <w:rPr>
          <w:rFonts w:ascii="Times New Roman" w:hAnsi="Times New Roman"/>
          <w:szCs w:val="28"/>
          <w:u w:color="auto" w:val="single"/>
        </w:rPr>
      </w:pPr>
      <w:r>
        <w:rPr>
          <w:rFonts w:ascii="Times New Roman" w:hAnsi="Times New Roman"/>
          <w:szCs w:val="28"/>
          <w:u w:color="auto" w:val="single"/>
        </w:rPr>
        <w:t>Представители СНТСН «Полярная усадьба»:</w:t>
      </w:r>
    </w:p>
    <w:p>
      <w:pPr>
        <w:ind w:firstLine="708"/>
        <w:spacing/>
        <w:jc w:val="both"/>
        <w:rPr>
          <w:rFonts w:ascii="Times New Roman" w:hAnsi="Times New Roman"/>
          <w:szCs w:val="28"/>
        </w:rPr>
      </w:pPr>
      <w:r>
        <w:rPr>
          <w:rFonts w:ascii="Times New Roman" w:hAnsi="Times New Roman"/>
          <w:szCs w:val="28"/>
        </w:rPr>
        <w:t>Гречаный Сергей Петрович – член Правления;</w:t>
      </w:r>
    </w:p>
    <w:p>
      <w:pPr>
        <w:ind w:firstLine="708"/>
        <w:spacing/>
        <w:jc w:val="both"/>
        <w:rPr>
          <w:rFonts w:ascii="Times New Roman" w:hAnsi="Times New Roman"/>
          <w:szCs w:val="28"/>
        </w:rPr>
      </w:pPr>
      <w:r>
        <w:rPr>
          <w:rFonts w:ascii="Times New Roman" w:hAnsi="Times New Roman"/>
          <w:szCs w:val="28"/>
        </w:rPr>
        <w:t>Евдосюк Сергей Николаевич – член Правления.</w:t>
      </w:r>
    </w:p>
    <w:p>
      <w:pPr>
        <w:pStyle w:val="para11"/>
        <w:ind w:firstLine="709"/>
        <w:spacing/>
        <w:jc w:val="both"/>
        <w:rPr>
          <w:rFonts w:eastAsia="Times New Roman" w:cs="Times New Roman"/>
          <w:sz w:val="28"/>
          <w:szCs w:val="28"/>
          <w:lang w:bidi="ar-sa"/>
        </w:rPr>
      </w:pPr>
      <w:r>
        <w:rPr>
          <w:rFonts w:eastAsia="Times New Roman" w:cs="Times New Roman"/>
          <w:sz w:val="28"/>
          <w:szCs w:val="28"/>
          <w:lang w:bidi="ar-sa"/>
        </w:rPr>
      </w:r>
    </w:p>
    <w:p>
      <w:pPr>
        <w:pStyle w:val="para11"/>
        <w:ind w:firstLine="708"/>
        <w:spacing/>
        <w:jc w:val="both"/>
        <w:rPr>
          <w:rFonts w:eastAsia="Times New Roman" w:cs="Times New Roman"/>
          <w:b/>
          <w:sz w:val="28"/>
          <w:szCs w:val="28"/>
          <w:lang w:bidi="ar-sa"/>
        </w:rPr>
      </w:pPr>
      <w:r>
        <w:rPr>
          <w:rFonts w:eastAsia="Times New Roman" w:cs="Times New Roman"/>
          <w:b/>
          <w:sz w:val="28"/>
          <w:szCs w:val="28"/>
          <w:lang w:bidi="ar-sa"/>
        </w:rPr>
        <w:t>Повестка дня:</w:t>
      </w:r>
    </w:p>
    <w:p>
      <w:pPr>
        <w:ind w:firstLine="708"/>
        <w:rPr>
          <w:rFonts w:ascii="Times New Roman" w:hAnsi="Times New Roman"/>
          <w:b/>
          <w:szCs w:val="28"/>
        </w:rPr>
      </w:pPr>
      <w:r>
        <w:rPr>
          <w:rFonts w:ascii="Times New Roman" w:hAnsi="Times New Roman"/>
          <w:szCs w:val="28"/>
        </w:rPr>
        <w:t xml:space="preserve">Погашение задолженности за потребленную электроэнергию СНТСН «Полярная усадьба». </w:t>
      </w:r>
      <w:r>
        <w:rPr>
          <w:rFonts w:ascii="Times New Roman" w:hAnsi="Times New Roman"/>
          <w:b/>
          <w:szCs w:val="28"/>
        </w:rPr>
      </w:r>
    </w:p>
    <w:p>
      <w:pPr>
        <w:spacing/>
        <w:jc w:val="both"/>
        <w:rPr>
          <w:rFonts w:ascii="Times New Roman" w:hAnsi="Times New Roman"/>
          <w:szCs w:val="28"/>
        </w:rPr>
      </w:pPr>
      <w:r>
        <w:rPr>
          <w:rFonts w:ascii="Times New Roman" w:hAnsi="Times New Roman"/>
          <w:szCs w:val="28"/>
        </w:rPr>
      </w:r>
    </w:p>
    <w:p>
      <w:pPr>
        <w:ind w:firstLine="708"/>
        <w:spacing/>
        <w:jc w:val="both"/>
        <w:rPr>
          <w:rFonts w:ascii="Times New Roman" w:hAnsi="Times New Roman"/>
          <w:szCs w:val="28"/>
        </w:rPr>
      </w:pPr>
      <w:r>
        <w:rPr>
          <w:rFonts w:ascii="Times New Roman" w:hAnsi="Times New Roman"/>
          <w:szCs w:val="28"/>
        </w:rPr>
        <w:t>Выступили:</w:t>
      </w:r>
    </w:p>
    <w:p>
      <w:pPr>
        <w:ind w:firstLine="708"/>
        <w:spacing/>
        <w:jc w:val="both"/>
        <w:rPr>
          <w:rFonts w:ascii="Times New Roman" w:hAnsi="Times New Roman"/>
          <w:szCs w:val="28"/>
        </w:rPr>
      </w:pPr>
      <w:r>
        <w:rPr>
          <w:rFonts w:ascii="Times New Roman" w:hAnsi="Times New Roman"/>
          <w:b/>
          <w:szCs w:val="28"/>
        </w:rPr>
        <w:t xml:space="preserve">Котликов Валерий Борисович </w:t>
      </w:r>
      <w:r>
        <w:rPr>
          <w:rFonts w:ascii="Times New Roman" w:hAnsi="Times New Roman"/>
          <w:szCs w:val="28"/>
        </w:rPr>
        <w:t xml:space="preserve">– по состоянию на 16.04.2019 задолженность по договору энергоснабжения от 02.02.2015 № 5110204338 (далее – ДЭС составляет                         </w:t>
      </w:r>
      <w:r>
        <w:rPr>
          <w:rFonts w:ascii="Times New Roman" w:hAnsi="Times New Roman"/>
          <w:b/>
          <w:szCs w:val="28"/>
        </w:rPr>
        <w:t>8 833 154,04 руб</w:t>
      </w:r>
      <w:r>
        <w:rPr>
          <w:rFonts w:ascii="Times New Roman" w:hAnsi="Times New Roman"/>
          <w:szCs w:val="28"/>
        </w:rPr>
        <w:t xml:space="preserve">. и продолжает увеличиваться. Вынужден обратить внимание на то, что перевод владельцев земельных участков на прямые договорные отношения к                     АО «АтомЭнергоСбыт» не приводит к улучшению состояния расчетов                                       </w:t>
      </w:r>
      <w:r>
        <w:rPr>
          <w:rFonts w:ascii="Times New Roman" w:hAnsi="Times New Roman"/>
          <w:szCs w:val="28"/>
          <w:u w:color="auto" w:val="single"/>
        </w:rPr>
        <w:t xml:space="preserve">СНТСН «Полярная усадьба» </w:t>
      </w:r>
      <w:r>
        <w:rPr>
          <w:rFonts w:ascii="Times New Roman" w:hAnsi="Times New Roman"/>
          <w:szCs w:val="28"/>
        </w:rPr>
        <w:t>за потребленную электрическую энергию за счет собственных средств. За 2018 и 2019 годы основная часть задолженности гасилась за счет продажи земельных участков, что указывает на крайне низкую дисциплину по сбору денежных средств с потребителей СНТСН «Полярная усадьба» и отсутствие контроля за режимом потребления электрической энергии на объектах потребителя. Следует активизировать работу по выявлению причин неплатежей членов                      СНТСН «Полярная усадьба» и организовать совместную работу по выявлению безучетного и бездоговорного потребления электрической энергии, выработать мероприятия по снижению образовавшейся задолженности.</w:t>
      </w:r>
    </w:p>
    <w:p>
      <w:pPr>
        <w:ind w:firstLine="708"/>
        <w:spacing/>
        <w:jc w:val="both"/>
        <w:rPr>
          <w:rFonts w:ascii="Times New Roman" w:hAnsi="Times New Roman"/>
          <w:szCs w:val="28"/>
        </w:rPr>
      </w:pPr>
      <w:r>
        <w:rPr>
          <w:rFonts w:ascii="Times New Roman" w:hAnsi="Times New Roman"/>
          <w:b/>
          <w:szCs w:val="28"/>
        </w:rPr>
        <w:t xml:space="preserve">Коротков Дмитрий Сергеевич – </w:t>
      </w:r>
      <w:r>
        <w:rPr>
          <w:rFonts w:ascii="Times New Roman" w:hAnsi="Times New Roman"/>
          <w:szCs w:val="28"/>
        </w:rPr>
        <w:t>на постоянной основе ведется работа по выводу оставшихся 11 членов СНТСН на заключение прямых договоров энергоснабжения с КАЭС. Информация о проделанной работе по данному вопросу систематически направляется на электронный адрес Гречаного С.П. На данный момент выведено 58 субабонентов.</w:t>
      </w:r>
    </w:p>
    <w:p>
      <w:pPr>
        <w:spacing/>
        <w:jc w:val="both"/>
        <w:rPr>
          <w:rFonts w:ascii="Times New Roman" w:hAnsi="Times New Roman"/>
          <w:szCs w:val="28"/>
        </w:rPr>
      </w:pPr>
      <w:r>
        <w:rPr>
          <w:rFonts w:ascii="Times New Roman" w:hAnsi="Times New Roman"/>
          <w:szCs w:val="28"/>
        </w:rPr>
        <w:t xml:space="preserve">  </w:t>
      </w:r>
    </w:p>
    <w:p>
      <w:pPr>
        <w:ind w:firstLine="708"/>
        <w:spacing/>
        <w:jc w:val="both"/>
        <w:rPr>
          <w:rFonts w:ascii="Times New Roman" w:hAnsi="Times New Roman"/>
          <w:szCs w:val="28"/>
        </w:rPr>
      </w:pPr>
      <w:r>
        <w:rPr>
          <w:rFonts w:ascii="Times New Roman" w:hAnsi="Times New Roman"/>
          <w:b/>
          <w:szCs w:val="28"/>
        </w:rPr>
        <w:t xml:space="preserve">Гречаный Сергей Петрович – </w:t>
      </w:r>
      <w:r>
        <w:rPr>
          <w:rFonts w:ascii="Times New Roman" w:hAnsi="Times New Roman"/>
          <w:szCs w:val="28"/>
        </w:rPr>
        <w:t>источник образования и увеличения задолженности кроется в бездействии бывшего председателя СОНТ «Городок» Смолкина В.П. и руководимого им правления. Технологическое подключение абонентов к электрической сети СОНТа не документировалось. Показания устанавливаемых для собственников земельных участков в распределительных щитах  приборов учета не фиксировались. Даты установки приборов учета также не фиксировались. Сами приборы учета не освидетельствовались. Из-за этого стала быстрыми темпами расти задолженность товарищества по электроэнергии, так как весь ее расход относился на товарищество.</w:t>
      </w:r>
    </w:p>
    <w:p>
      <w:pPr>
        <w:ind w:firstLine="709"/>
        <w:spacing/>
        <w:jc w:val="both"/>
        <w:rPr>
          <w:rFonts w:ascii="Times New Roman" w:hAnsi="Times New Roman"/>
          <w:szCs w:val="28"/>
        </w:rPr>
      </w:pPr>
      <w:r>
        <w:rPr>
          <w:rFonts w:ascii="Times New Roman" w:hAnsi="Times New Roman"/>
          <w:szCs w:val="28"/>
        </w:rPr>
        <w:t>Товарищество пытается навести порядок в энергоснабжении. В настоящее время подрядная организация закончила работы по прокладке новой линии энергоснабжения от распределительного пункта до ТП-2 посёлка. Следующий этап, это реконструкция энергосети непосредственно в самом посёлке.</w:t>
      </w:r>
    </w:p>
    <w:p>
      <w:pPr>
        <w:ind w:firstLine="709"/>
        <w:spacing/>
        <w:jc w:val="both"/>
        <w:rPr>
          <w:rFonts w:ascii="Times New Roman" w:hAnsi="Times New Roman"/>
          <w:szCs w:val="28"/>
        </w:rPr>
      </w:pPr>
      <w:r>
        <w:rPr>
          <w:rFonts w:ascii="Times New Roman" w:hAnsi="Times New Roman"/>
          <w:szCs w:val="28"/>
        </w:rPr>
        <w:t xml:space="preserve">К сожалению, собственники несвоевременно исполняют свои обязанности по оплате общих расходов. Тем не менее, у Товарищества уже есть наработанная судебная практика, которая позволяет запустить процедуру судебного взыскания «на поток» через выдачу судебных приказов мировыми судьями, что значительно ускоряет процесс. </w:t>
      </w:r>
    </w:p>
    <w:p>
      <w:pPr>
        <w:ind w:firstLine="709"/>
        <w:spacing/>
        <w:jc w:val="both"/>
        <w:rPr>
          <w:rFonts w:ascii="Times New Roman" w:hAnsi="Times New Roman"/>
          <w:szCs w:val="28"/>
        </w:rPr>
      </w:pPr>
      <w:r>
        <w:rPr>
          <w:rFonts w:ascii="Times New Roman" w:hAnsi="Times New Roman"/>
          <w:szCs w:val="28"/>
        </w:rPr>
        <w:t>В самое ближайшее время будут поданы иски за безучётное потребление электрической энергии по тем домам, собственники которых проживают в посёлке длительное время и не оплачивают потребление. Для определения суммы претензий будет назначаться соответствующая судебная экспертиза с привлечением в качестве экспертов специализированных организаций. В данном вопросе предлагаем КАЭС оказать Товариществу услугу по расчету безучетного потребления.</w:t>
      </w:r>
    </w:p>
    <w:p>
      <w:pPr>
        <w:ind w:firstLine="709"/>
        <w:spacing/>
        <w:jc w:val="both"/>
        <w:rPr>
          <w:rFonts w:ascii="Times New Roman" w:hAnsi="Times New Roman"/>
          <w:szCs w:val="28"/>
        </w:rPr>
      </w:pPr>
      <w:r>
        <w:rPr>
          <w:rFonts w:ascii="Times New Roman" w:hAnsi="Times New Roman"/>
          <w:szCs w:val="28"/>
        </w:rPr>
        <w:t>Кроме того, Правление систематически контролирует потребление электроэнергии и произведение оплаты за нее жителями «Норвежской деревни», которые подключены к электросети товарищества.</w:t>
      </w:r>
    </w:p>
    <w:p>
      <w:pPr>
        <w:ind w:firstLine="709"/>
        <w:spacing/>
        <w:jc w:val="both"/>
        <w:rPr>
          <w:rFonts w:ascii="Times New Roman" w:hAnsi="Times New Roman"/>
          <w:szCs w:val="28"/>
        </w:rPr>
      </w:pPr>
      <w:r>
        <w:rPr>
          <w:rFonts w:ascii="Times New Roman" w:hAnsi="Times New Roman"/>
          <w:szCs w:val="28"/>
        </w:rPr>
      </w:r>
    </w:p>
    <w:p>
      <w:pPr>
        <w:ind w:firstLine="709"/>
        <w:spacing/>
        <w:jc w:val="both"/>
        <w:rPr>
          <w:rFonts w:ascii="Times New Roman" w:hAnsi="Times New Roman"/>
          <w:szCs w:val="28"/>
        </w:rPr>
      </w:pPr>
      <w:r>
        <w:rPr>
          <w:rFonts w:ascii="Times New Roman" w:hAnsi="Times New Roman"/>
          <w:szCs w:val="28"/>
        </w:rPr>
        <w:t xml:space="preserve">Относительно погашения текущей задолженности сообщаем, что расчетный счет Товарищества заблокирован, в числе прочего, исполнительными листами КАЭС. </w:t>
      </w:r>
    </w:p>
    <w:p>
      <w:pPr>
        <w:ind w:firstLine="709"/>
        <w:spacing/>
        <w:jc w:val="both"/>
        <w:rPr>
          <w:rFonts w:ascii="Times New Roman" w:hAnsi="Times New Roman"/>
          <w:szCs w:val="28"/>
        </w:rPr>
      </w:pPr>
      <w:r>
        <w:rPr>
          <w:rFonts w:ascii="Times New Roman" w:hAnsi="Times New Roman"/>
          <w:szCs w:val="28"/>
        </w:rPr>
        <w:t>В связи с этим проведение безналичных операций и расчетов через банковский счет товарищества, в том числе по оплате КАЭС текущих платежей за электроэнергию, невозможно.</w:t>
      </w:r>
    </w:p>
    <w:p>
      <w:pPr>
        <w:ind w:firstLine="709"/>
        <w:spacing/>
        <w:jc w:val="both"/>
        <w:rPr>
          <w:rFonts w:ascii="Times New Roman" w:hAnsi="Times New Roman"/>
          <w:szCs w:val="28"/>
        </w:rPr>
      </w:pPr>
      <w:r>
        <w:rPr>
          <w:rFonts w:ascii="Times New Roman" w:hAnsi="Times New Roman"/>
          <w:szCs w:val="28"/>
        </w:rPr>
        <w:t>По новому закону о садоводстве уплата членских и целевых взносов должна производиться только через расчетный счет, который заблокирован. Это фактически парализует работу товарищества</w:t>
      </w:r>
    </w:p>
    <w:p>
      <w:pPr>
        <w:ind w:firstLine="709"/>
        <w:spacing/>
        <w:jc w:val="both"/>
        <w:rPr>
          <w:rFonts w:ascii="Times New Roman" w:hAnsi="Times New Roman"/>
          <w:szCs w:val="28"/>
        </w:rPr>
      </w:pPr>
      <w:r>
        <w:rPr>
          <w:rFonts w:ascii="Times New Roman" w:hAnsi="Times New Roman"/>
          <w:szCs w:val="28"/>
        </w:rPr>
        <w:t xml:space="preserve">В связи с вышесказанным, Товарищество обращается к                                                     КАЭС с предложением об организации информационного обмена по оплатам и потреблению «Норвежской деревни», а также по подтверждению оплат членами Товарищества задолженности перед СНТСН «Полярная усадьба» в момент перехода на прямой договор энергоснабжения с КАЭС. </w:t>
      </w:r>
    </w:p>
    <w:p>
      <w:pPr>
        <w:ind w:firstLine="709"/>
        <w:spacing/>
        <w:jc w:val="both"/>
        <w:rPr>
          <w:rFonts w:ascii="Times New Roman" w:hAnsi="Times New Roman"/>
          <w:szCs w:val="28"/>
        </w:rPr>
      </w:pPr>
      <w:r>
        <w:rPr>
          <w:rFonts w:ascii="Times New Roman" w:hAnsi="Times New Roman"/>
          <w:szCs w:val="28"/>
        </w:rPr>
        <w:t>Кроме того, СНТСН «Полярная усадьба» просит Гарантирующего поставщика усилить работу по понуждению оставшихся членов Товарищества заключить прямые договора энергоснабжения (рассылка, совместные обходы).</w:t>
      </w:r>
    </w:p>
    <w:p>
      <w:pPr>
        <w:ind w:firstLine="708"/>
        <w:spacing/>
        <w:jc w:val="both"/>
        <w:rPr>
          <w:rFonts w:ascii="Times New Roman" w:hAnsi="Times New Roman"/>
          <w:szCs w:val="28"/>
        </w:rPr>
      </w:pPr>
      <w:r>
        <w:rPr>
          <w:rFonts w:ascii="Times New Roman" w:hAnsi="Times New Roman"/>
          <w:szCs w:val="28"/>
        </w:rPr>
        <w:t>Товарищество не сможет выполнять обязанности по оплате электроэнергии при заблокированном банковском счете и просило бы КАЭС отозвать свои исполнительные листы, принимая во внимание, что в целях погашения ранее возникшей задолженности товарищество с КАЭС заключен агентский договор, по которому 90% вырученных от продажи земельных участков идет на погашение долга.</w:t>
      </w:r>
    </w:p>
    <w:p>
      <w:pPr>
        <w:ind w:firstLine="708"/>
        <w:spacing/>
        <w:jc w:val="both"/>
        <w:rPr>
          <w:rFonts w:ascii="Times New Roman" w:hAnsi="Times New Roman"/>
          <w:szCs w:val="28"/>
        </w:rPr>
      </w:pPr>
      <w:r>
        <w:rPr>
          <w:rFonts w:ascii="Times New Roman" w:hAnsi="Times New Roman"/>
          <w:szCs w:val="28"/>
        </w:rPr>
        <w:t>Учитывая, что товарищество является некоммерческой организацией, существующей только на взносы собственников земельных участков, мы не сможем погашать ранее возникшую задолженность за счет взносов. Тем более, что никто не согласится погашать задолженность, которая возникла из-за потребления электроэнергии лицами, первыми поселившимися в домах поселка.</w:t>
      </w:r>
    </w:p>
    <w:p>
      <w:pPr>
        <w:ind w:firstLine="708"/>
        <w:spacing/>
        <w:jc w:val="both"/>
        <w:rPr>
          <w:rFonts w:ascii="Times New Roman" w:hAnsi="Times New Roman"/>
          <w:szCs w:val="28"/>
        </w:rPr>
      </w:pPr>
      <w:r>
        <w:rPr>
          <w:rFonts w:ascii="Times New Roman" w:hAnsi="Times New Roman"/>
          <w:szCs w:val="28"/>
        </w:rPr>
        <w:t>Таким образом наше предложение заключается в том, что бы погашать ранее возникшую задолженность за счет продажи земельных участков товарищества, а оплату текущего потребления организовать за счет взносов собственников земельных участков.</w:t>
      </w:r>
    </w:p>
    <w:p>
      <w:pPr>
        <w:ind w:firstLine="708"/>
        <w:spacing/>
        <w:jc w:val="both"/>
        <w:rPr>
          <w:rFonts w:ascii="Times New Roman" w:hAnsi="Times New Roman"/>
          <w:szCs w:val="28"/>
        </w:rPr>
      </w:pPr>
      <w:r>
        <w:rPr>
          <w:rFonts w:ascii="Times New Roman" w:hAnsi="Times New Roman"/>
          <w:szCs w:val="28"/>
        </w:rPr>
        <w:t>Товарищество готово написать КАЭС гарантийное письмо об этом.</w:t>
      </w:r>
    </w:p>
    <w:p>
      <w:pPr>
        <w:ind w:firstLine="708"/>
        <w:spacing/>
        <w:jc w:val="both"/>
        <w:rPr>
          <w:rFonts w:ascii="Times New Roman" w:hAnsi="Times New Roman"/>
          <w:szCs w:val="28"/>
        </w:rPr>
      </w:pPr>
      <w:r>
        <w:rPr>
          <w:rFonts w:ascii="Times New Roman" w:hAnsi="Times New Roman"/>
          <w:szCs w:val="28"/>
        </w:rPr>
        <w:t>В настоящее время в Кольском суде ведется судебное разбирательство о признании незаконными договоров купли-продажи 19-и земельных участков, реализованных Смолкиным В.П., и признании за Товариществом права собственности на данные земельные участки. Это обстоятельство позволит продолжить погашение задолженности за счет продажи земельных участков.</w:t>
      </w:r>
    </w:p>
    <w:p>
      <w:pPr>
        <w:ind w:firstLine="709"/>
        <w:spacing/>
        <w:jc w:val="both"/>
        <w:rPr>
          <w:rFonts w:ascii="Times New Roman" w:hAnsi="Times New Roman"/>
          <w:szCs w:val="28"/>
        </w:rPr>
      </w:pPr>
      <w:r>
        <w:rPr>
          <w:rFonts w:ascii="Times New Roman" w:hAnsi="Times New Roman"/>
          <w:szCs w:val="28"/>
        </w:rPr>
      </w:r>
    </w:p>
    <w:p>
      <w:pPr>
        <w:ind w:firstLine="708"/>
        <w:spacing/>
        <w:jc w:val="both"/>
        <w:rPr>
          <w:rFonts w:ascii="Times New Roman" w:hAnsi="Times New Roman"/>
          <w:szCs w:val="28"/>
        </w:rPr>
      </w:pPr>
      <w:r>
        <w:rPr>
          <w:rFonts w:ascii="Times New Roman" w:hAnsi="Times New Roman"/>
          <w:szCs w:val="28"/>
        </w:rPr>
        <w:t xml:space="preserve">Стороны обсудили возможные мероприятия, направленные на снижение задолженности СНТСН «Полярная усадьба» перед КАЭС. По результатам совещания приняты </w:t>
      </w:r>
      <w:r>
        <w:rPr>
          <w:rFonts w:ascii="Times New Roman" w:hAnsi="Times New Roman"/>
          <w:b/>
          <w:szCs w:val="28"/>
        </w:rPr>
        <w:t>следующие решения</w:t>
      </w:r>
      <w:r>
        <w:rPr>
          <w:rFonts w:ascii="Times New Roman" w:hAnsi="Times New Roman"/>
          <w:szCs w:val="28"/>
        </w:rPr>
        <w:t>:</w:t>
      </w:r>
    </w:p>
    <w:p>
      <w:pPr>
        <w:pStyle w:val="para7"/>
        <w:numPr>
          <w:ilvl w:val="0"/>
          <w:numId w:val="3"/>
        </w:numPr>
        <w:ind w:left="0" w:firstLine="709"/>
        <w:spacing/>
        <w:jc w:val="both"/>
        <w:tabs>
          <w:tab w:val="left" w:pos="1134" w:leader="none"/>
        </w:tabs>
        <w:rPr>
          <w:rFonts w:ascii="Times New Roman" w:hAnsi="Times New Roman"/>
          <w:szCs w:val="28"/>
          <w:u w:color="auto" w:val="single"/>
        </w:rPr>
      </w:pPr>
      <w:r>
        <w:rPr>
          <w:rFonts w:ascii="Times New Roman" w:hAnsi="Times New Roman"/>
          <w:szCs w:val="28"/>
          <w:u w:color="auto" w:val="single"/>
        </w:rPr>
        <w:t xml:space="preserve">Северному отделению филиала «КолАтомЭнергоСбыт»                                                    АО «АтомЭнергоСбыт»: </w:t>
      </w:r>
    </w:p>
    <w:p>
      <w:pPr>
        <w:pStyle w:val="para7"/>
        <w:numPr>
          <w:ilvl w:val="1"/>
          <w:numId w:val="14"/>
        </w:numPr>
        <w:ind w:left="0" w:firstLine="993"/>
        <w:spacing/>
        <w:jc w:val="both"/>
        <w:tabs>
          <w:tab w:val="left" w:pos="1134" w:leader="none"/>
        </w:tabs>
        <w:rPr>
          <w:rFonts w:ascii="Times New Roman" w:hAnsi="Times New Roman"/>
          <w:color w:val="000000"/>
          <w:szCs w:val="28"/>
        </w:rPr>
      </w:pPr>
      <w:r>
        <w:rPr>
          <w:rFonts w:ascii="Times New Roman" w:hAnsi="Times New Roman"/>
          <w:szCs w:val="28"/>
        </w:rPr>
        <w:t xml:space="preserve"> Ежемесячно направлять на электронный адрес СНТСН «Полярная усадьба </w:t>
      </w:r>
      <w:hyperlink r:id="rId10" w:history="1">
        <w:r>
          <w:rPr>
            <w:rStyle w:val="char4"/>
            <w:rFonts w:ascii="Times New Roman" w:hAnsi="Times New Roman"/>
            <w:szCs w:val="28"/>
          </w:rPr>
          <w:t>(</w:t>
        </w:r>
        <w:r>
          <w:rPr>
            <w:rStyle w:val="char4"/>
            <w:rFonts w:ascii="Times New Roman" w:hAnsi="Times New Roman"/>
            <w:kern w:val="1"/>
            <w:szCs w:val="28"/>
            <w:lang w:val="ru-ru" w:bidi="ar-sa"/>
          </w:rPr>
          <w:t>polarvillage51@gmail.com</w:t>
        </w:r>
      </w:hyperlink>
      <w:r>
        <w:rPr>
          <w:rFonts w:ascii="Times New Roman" w:hAnsi="Times New Roman"/>
          <w:color w:val="666666"/>
          <w:kern w:val="1"/>
          <w:szCs w:val="28"/>
          <w:lang w:val="ru-ru" w:bidi="ar-sa"/>
        </w:rPr>
        <w:t xml:space="preserve">) </w:t>
      </w:r>
      <w:r>
        <w:rPr>
          <w:rFonts w:ascii="Times New Roman" w:hAnsi="Times New Roman"/>
          <w:szCs w:val="28"/>
        </w:rPr>
        <w:t xml:space="preserve">сведения о размерах потребленной электрической энергии и о внесенных оплатах жителями «Норвежской </w:t>
      </w:r>
      <w:r>
        <w:rPr>
          <w:rFonts w:ascii="Times New Roman" w:hAnsi="Times New Roman"/>
          <w:color w:val="000000"/>
          <w:szCs w:val="28"/>
        </w:rPr>
        <w:t>деревни».</w:t>
      </w:r>
      <w:r>
        <w:rPr>
          <w:rFonts w:ascii="Times New Roman" w:hAnsi="Times New Roman"/>
          <w:color w:val="000000"/>
          <w:szCs w:val="28"/>
        </w:rPr>
      </w:r>
    </w:p>
    <w:p>
      <w:pPr>
        <w:pStyle w:val="para7"/>
        <w:numPr>
          <w:ilvl w:val="1"/>
          <w:numId w:val="14"/>
        </w:numPr>
        <w:ind w:left="0" w:firstLine="993"/>
        <w:spacing/>
        <w:jc w:val="both"/>
        <w:tabs>
          <w:tab w:val="left" w:pos="1134" w:leader="none"/>
        </w:tabs>
        <w:rPr>
          <w:rFonts w:ascii="Times New Roman" w:hAnsi="Times New Roman"/>
          <w:color w:val="000000"/>
          <w:szCs w:val="28"/>
        </w:rPr>
      </w:pPr>
      <w:r>
        <w:rPr>
          <w:rFonts w:ascii="Times New Roman" w:hAnsi="Times New Roman"/>
          <w:color w:val="000000"/>
          <w:szCs w:val="28"/>
        </w:rPr>
        <w:t xml:space="preserve"> Обеспечить контроль передачи показаний ПУ от всех потребителей                   АО «АтомЭнергоСбыт» попадающих под учет ПУ СНТСН «Полярная усадьба». При отсутствии показаний применять расчетный метод определения объемов в соответствии законодательством РФ. Сводную ведомость ежемесячно направлять в адрес СНТСН «Полярная усадьба» для согласования.</w:t>
      </w:r>
    </w:p>
    <w:p>
      <w:pPr>
        <w:pStyle w:val="para7"/>
        <w:ind w:left="993"/>
        <w:spacing/>
        <w:jc w:val="both"/>
        <w:tabs>
          <w:tab w:val="left" w:pos="1134" w:leader="none"/>
        </w:tabs>
        <w:rPr>
          <w:rFonts w:ascii="Times New Roman" w:hAnsi="Times New Roman"/>
          <w:color w:val="000000"/>
          <w:szCs w:val="28"/>
        </w:rPr>
      </w:pPr>
      <w:r>
        <w:rPr>
          <w:rFonts w:ascii="Times New Roman" w:hAnsi="Times New Roman"/>
          <w:color w:val="000000"/>
          <w:szCs w:val="28"/>
        </w:rPr>
        <w:t xml:space="preserve">Срок – ежемесячно. </w:t>
      </w:r>
    </w:p>
    <w:p>
      <w:pPr>
        <w:pStyle w:val="para7"/>
        <w:numPr>
          <w:ilvl w:val="1"/>
          <w:numId w:val="14"/>
        </w:numPr>
        <w:ind w:left="0" w:firstLine="993"/>
        <w:spacing/>
        <w:jc w:val="both"/>
        <w:tabs>
          <w:tab w:val="left" w:pos="1134" w:leader="none"/>
        </w:tabs>
        <w:rPr>
          <w:rFonts w:ascii="Times New Roman" w:hAnsi="Times New Roman"/>
          <w:szCs w:val="28"/>
        </w:rPr>
      </w:pPr>
      <w:r>
        <w:rPr>
          <w:rFonts w:ascii="Times New Roman" w:hAnsi="Times New Roman"/>
          <w:szCs w:val="28"/>
        </w:rPr>
        <w:t xml:space="preserve"> Рассмотреть возможность оказания услуги по расчету суммы задолженности за безучётное потребление для подачи</w:t>
      </w:r>
      <w:r>
        <w:rPr>
          <w:rFonts w:ascii="Times New Roman" w:hAnsi="Times New Roman"/>
        </w:rPr>
      </w:r>
      <w:bookmarkStart w:id="0" w:name="_GoBack"/>
      <w:bookmarkEnd w:id="0"/>
      <w:r>
        <w:rPr>
          <w:rFonts w:ascii="Times New Roman" w:hAnsi="Times New Roman"/>
        </w:rPr>
      </w:r>
      <w:r>
        <w:rPr>
          <w:rFonts w:ascii="Times New Roman" w:hAnsi="Times New Roman"/>
          <w:szCs w:val="28"/>
        </w:rPr>
        <w:t xml:space="preserve"> исков в суд </w:t>
      </w:r>
      <w:r>
        <w:rPr>
          <w:rFonts w:ascii="Times New Roman" w:hAnsi="Times New Roman"/>
          <w:szCs w:val="28"/>
        </w:rPr>
        <w:t>или для согласования</w:t>
      </w:r>
      <w:r>
        <w:rPr>
          <w:rFonts w:ascii="Times New Roman" w:hAnsi="Times New Roman"/>
          <w:szCs w:val="28"/>
        </w:rPr>
        <w:t xml:space="preserve"> с Правлением Т</w:t>
      </w:r>
      <w:r>
        <w:rPr>
          <w:rFonts w:ascii="Times New Roman" w:hAnsi="Times New Roman"/>
          <w:szCs w:val="28"/>
        </w:rPr>
        <w:t xml:space="preserve">оварищества процедуры погашения </w:t>
      </w:r>
      <w:r>
        <w:rPr>
          <w:rFonts w:ascii="Times New Roman" w:hAnsi="Times New Roman"/>
          <w:szCs w:val="28"/>
        </w:rPr>
        <w:t xml:space="preserve">долгов за </w:t>
      </w:r>
      <w:r>
        <w:rPr>
          <w:rFonts w:ascii="Times New Roman" w:hAnsi="Times New Roman"/>
          <w:szCs w:val="28"/>
        </w:rPr>
        <w:t>электро</w:t>
      </w:r>
      <w:r>
        <w:rPr>
          <w:rFonts w:ascii="Times New Roman" w:hAnsi="Times New Roman"/>
          <w:szCs w:val="28"/>
        </w:rPr>
        <w:t>эн</w:t>
      </w:r>
      <w:r>
        <w:rPr>
          <w:rFonts w:ascii="Times New Roman" w:hAnsi="Times New Roman"/>
          <w:szCs w:val="28"/>
        </w:rPr>
        <w:t>ергию</w:t>
      </w:r>
      <w:r>
        <w:rPr>
          <w:rFonts w:ascii="Times New Roman" w:hAnsi="Times New Roman"/>
          <w:szCs w:val="28"/>
        </w:rPr>
        <w:t xml:space="preserve"> на основании полученного технического задания</w:t>
      </w:r>
      <w:r>
        <w:rPr>
          <w:rFonts w:ascii="Times New Roman" w:hAnsi="Times New Roman"/>
          <w:szCs w:val="28"/>
        </w:rPr>
        <w:t>.</w:t>
      </w:r>
      <w:r>
        <w:rPr>
          <w:rFonts w:ascii="Times New Roman" w:hAnsi="Times New Roman"/>
          <w:szCs w:val="28"/>
        </w:rPr>
      </w:r>
    </w:p>
    <w:p>
      <w:pPr>
        <w:pStyle w:val="para7"/>
        <w:numPr>
          <w:ilvl w:val="1"/>
          <w:numId w:val="14"/>
        </w:numPr>
        <w:ind w:left="0" w:firstLine="993"/>
        <w:spacing/>
        <w:jc w:val="both"/>
        <w:tabs>
          <w:tab w:val="left" w:pos="1134" w:leader="none"/>
        </w:tabs>
        <w:rPr>
          <w:rFonts w:ascii="Times New Roman" w:hAnsi="Times New Roman"/>
          <w:szCs w:val="28"/>
        </w:rPr>
      </w:pPr>
      <w:r>
        <w:rPr>
          <w:rFonts w:ascii="Times New Roman" w:hAnsi="Times New Roman"/>
          <w:szCs w:val="28"/>
        </w:rPr>
        <w:t xml:space="preserve"> Включить в список необходимых документов при заключении «прямых» договоров с членами Товарищества справку об урегулировании споров с Правлением Товарищества по вопросам потребленной электроэнергии (согласовать на примере заключения договора энергоснабжения с Евдосюком С.Н.).</w:t>
      </w:r>
    </w:p>
    <w:p>
      <w:pPr>
        <w:pStyle w:val="para7"/>
        <w:numPr>
          <w:ilvl w:val="1"/>
          <w:numId w:val="14"/>
        </w:numPr>
        <w:ind w:left="0" w:firstLine="993"/>
        <w:spacing/>
        <w:jc w:val="both"/>
        <w:tabs>
          <w:tab w:val="left" w:pos="1134" w:leader="none"/>
        </w:tabs>
        <w:rPr>
          <w:rFonts w:ascii="Times New Roman" w:hAnsi="Times New Roman"/>
          <w:color w:val="000000"/>
          <w:szCs w:val="28"/>
        </w:rPr>
      </w:pPr>
      <w:r>
        <w:rPr>
          <w:rFonts w:ascii="Times New Roman" w:hAnsi="Times New Roman"/>
          <w:color w:val="000000"/>
          <w:szCs w:val="28"/>
        </w:rPr>
        <w:t xml:space="preserve"> Организовать выполнение совместных с представителями                      СНТСН «Полярная усадьба» рейдов по снятию контрольных показаний ПУ потребителей АО «АтомЭнергоСбыт», энергопринимающие устройства которых технологически присоединены к электрическим сетям   СНТСН «Полярная усадьба».</w:t>
      </w:r>
    </w:p>
    <w:p>
      <w:pPr>
        <w:spacing/>
        <w:jc w:val="both"/>
        <w:tabs>
          <w:tab w:val="left" w:pos="993" w:leader="none"/>
        </w:tabs>
        <w:rPr>
          <w:rFonts w:ascii="Times New Roman" w:hAnsi="Times New Roman"/>
          <w:szCs w:val="28"/>
        </w:rPr>
      </w:pPr>
      <w:r>
        <w:rPr>
          <w:rFonts w:ascii="Times New Roman" w:hAnsi="Times New Roman"/>
          <w:szCs w:val="28"/>
        </w:rPr>
        <w:tab/>
        <w:t>Срок – ежеквартально.</w:t>
      </w:r>
    </w:p>
    <w:p>
      <w:pPr>
        <w:pStyle w:val="para7"/>
        <w:numPr>
          <w:ilvl w:val="1"/>
          <w:numId w:val="14"/>
        </w:numPr>
        <w:ind w:left="0" w:firstLine="993"/>
        <w:spacing/>
        <w:jc w:val="both"/>
        <w:tabs>
          <w:tab w:val="left" w:pos="1134" w:leader="none"/>
        </w:tabs>
        <w:rPr>
          <w:rFonts w:ascii="Times New Roman" w:hAnsi="Times New Roman"/>
          <w:szCs w:val="28"/>
        </w:rPr>
      </w:pPr>
      <w:r>
        <w:rPr>
          <w:rFonts w:ascii="Times New Roman" w:hAnsi="Times New Roman"/>
          <w:szCs w:val="28"/>
        </w:rPr>
        <w:t xml:space="preserve"> Продолжать работу по реализации земельных участков в счет погашения задолженности СНТСН «Полярная усадьба» в рамках Агентского договора.</w:t>
      </w:r>
    </w:p>
    <w:p>
      <w:pPr>
        <w:pStyle w:val="para7"/>
        <w:numPr>
          <w:ilvl w:val="0"/>
          <w:numId w:val="14"/>
        </w:numPr>
        <w:ind w:left="450" w:firstLine="259"/>
        <w:spacing/>
        <w:jc w:val="both"/>
        <w:tabs>
          <w:tab w:val="left" w:pos="1134" w:leader="none"/>
        </w:tabs>
        <w:rPr>
          <w:rFonts w:ascii="Times New Roman" w:hAnsi="Times New Roman"/>
          <w:szCs w:val="28"/>
          <w:u w:color="auto" w:val="single"/>
        </w:rPr>
      </w:pPr>
      <w:r>
        <w:rPr>
          <w:rFonts w:ascii="Times New Roman" w:hAnsi="Times New Roman"/>
          <w:szCs w:val="28"/>
          <w:u w:color="auto" w:val="single"/>
        </w:rPr>
        <w:t xml:space="preserve">СНТСН «Полярная усадьба»: </w:t>
      </w:r>
    </w:p>
    <w:p>
      <w:pPr>
        <w:pStyle w:val="para7"/>
        <w:numPr>
          <w:ilvl w:val="1"/>
          <w:numId w:val="14"/>
        </w:numPr>
        <w:ind w:left="0" w:firstLine="993"/>
        <w:spacing/>
        <w:jc w:val="both"/>
        <w:tabs>
          <w:tab w:val="left" w:pos="1134" w:leader="none"/>
          <w:tab w:val="left" w:pos="1560" w:leader="none"/>
        </w:tabs>
        <w:rPr>
          <w:rFonts w:ascii="Times New Roman" w:hAnsi="Times New Roman"/>
          <w:szCs w:val="28"/>
        </w:rPr>
      </w:pPr>
      <w:r>
        <w:rPr>
          <w:rFonts w:ascii="Times New Roman" w:hAnsi="Times New Roman"/>
          <w:szCs w:val="28"/>
        </w:rPr>
        <w:t xml:space="preserve"> Проводить работу по понуждению членов СНТСН «Полярная усадьба» к заключению договора энергоснабжения с КАЭС до момента перехода всех домов на прямые расчеты.</w:t>
      </w:r>
    </w:p>
    <w:p>
      <w:pPr>
        <w:pStyle w:val="para7"/>
        <w:numPr>
          <w:ilvl w:val="1"/>
          <w:numId w:val="14"/>
        </w:numPr>
        <w:ind w:left="1429" w:hanging="436"/>
        <w:spacing/>
        <w:jc w:val="both"/>
        <w:tabs>
          <w:tab w:val="left" w:pos="1134" w:leader="none"/>
          <w:tab w:val="left" w:pos="1560" w:leader="none"/>
        </w:tabs>
        <w:rPr>
          <w:rFonts w:ascii="Times New Roman" w:hAnsi="Times New Roman"/>
          <w:szCs w:val="28"/>
        </w:rPr>
      </w:pPr>
      <w:r>
        <w:rPr>
          <w:rFonts w:ascii="Times New Roman" w:hAnsi="Times New Roman"/>
          <w:szCs w:val="28"/>
        </w:rPr>
        <w:t xml:space="preserve"> Организовать совместный с представителями КАЭС обход по частным</w:t>
      </w:r>
    </w:p>
    <w:p>
      <w:pPr>
        <w:spacing/>
        <w:jc w:val="both"/>
        <w:tabs>
          <w:tab w:val="left" w:pos="1134" w:leader="none"/>
          <w:tab w:val="left" w:pos="1560" w:leader="none"/>
        </w:tabs>
        <w:rPr>
          <w:rFonts w:ascii="Times New Roman" w:hAnsi="Times New Roman"/>
          <w:szCs w:val="28"/>
        </w:rPr>
      </w:pPr>
      <w:r>
        <w:rPr>
          <w:rFonts w:ascii="Times New Roman" w:hAnsi="Times New Roman"/>
          <w:szCs w:val="28"/>
        </w:rPr>
        <w:t>домам членов СНТСН «Полярная усадьба» (11 чел.) с целью агитации перехода на прямые договоры энергоснабжения и оплаты задолженности перед Товариществом.</w:t>
      </w:r>
    </w:p>
    <w:p>
      <w:pPr>
        <w:ind w:firstLine="993"/>
        <w:spacing/>
        <w:jc w:val="both"/>
        <w:tabs>
          <w:tab w:val="left" w:pos="1134" w:leader="none"/>
          <w:tab w:val="left" w:pos="1560" w:leader="none"/>
        </w:tabs>
        <w:rPr>
          <w:rFonts w:ascii="Times New Roman" w:hAnsi="Times New Roman"/>
          <w:szCs w:val="28"/>
        </w:rPr>
      </w:pPr>
      <w:r>
        <w:rPr>
          <w:rFonts w:ascii="Times New Roman" w:hAnsi="Times New Roman"/>
          <w:szCs w:val="28"/>
        </w:rPr>
        <w:t>Срок – 13.05.2019.</w:t>
      </w:r>
    </w:p>
    <w:p>
      <w:pPr>
        <w:pStyle w:val="para7"/>
        <w:numPr>
          <w:ilvl w:val="1"/>
          <w:numId w:val="14"/>
        </w:numPr>
        <w:ind w:left="0" w:firstLine="993"/>
        <w:spacing/>
        <w:jc w:val="both"/>
        <w:tabs>
          <w:tab w:val="left" w:pos="1134" w:leader="none"/>
          <w:tab w:val="left" w:pos="1560" w:leader="none"/>
        </w:tabs>
        <w:rPr>
          <w:rFonts w:ascii="Times New Roman" w:hAnsi="Times New Roman"/>
          <w:szCs w:val="28"/>
        </w:rPr>
      </w:pPr>
      <w:r>
        <w:rPr>
          <w:rFonts w:ascii="Times New Roman" w:hAnsi="Times New Roman"/>
          <w:szCs w:val="28"/>
        </w:rPr>
        <w:t>Направить в КАЭС техническое задание по расчету безучетного потребления частных домов, имеющих задолженность перед СНТСН «Полярная усадьба» за потребленную электрическую энергию.</w:t>
      </w:r>
    </w:p>
    <w:p>
      <w:pPr>
        <w:pStyle w:val="para7"/>
        <w:ind w:left="993"/>
        <w:spacing/>
        <w:jc w:val="both"/>
        <w:tabs>
          <w:tab w:val="left" w:pos="1134" w:leader="none"/>
          <w:tab w:val="left" w:pos="1560" w:leader="none"/>
        </w:tabs>
        <w:rPr>
          <w:rFonts w:ascii="Times New Roman" w:hAnsi="Times New Roman"/>
          <w:szCs w:val="28"/>
        </w:rPr>
      </w:pPr>
      <w:r>
        <w:rPr>
          <w:rFonts w:ascii="Times New Roman" w:hAnsi="Times New Roman"/>
          <w:szCs w:val="28"/>
        </w:rPr>
        <w:t>Срок – 26.04.2019.</w:t>
      </w:r>
    </w:p>
    <w:p>
      <w:pPr>
        <w:pStyle w:val="para7"/>
        <w:numPr>
          <w:ilvl w:val="1"/>
          <w:numId w:val="14"/>
        </w:numPr>
        <w:ind w:left="0" w:firstLine="993"/>
        <w:spacing/>
        <w:jc w:val="both"/>
        <w:tabs>
          <w:tab w:val="left" w:pos="1134" w:leader="none"/>
          <w:tab w:val="left" w:pos="1560" w:leader="none"/>
        </w:tabs>
        <w:rPr>
          <w:rFonts w:ascii="Times New Roman" w:hAnsi="Times New Roman"/>
          <w:szCs w:val="28"/>
        </w:rPr>
      </w:pPr>
      <w:r>
        <w:rPr>
          <w:rFonts w:ascii="Times New Roman" w:hAnsi="Times New Roman"/>
          <w:szCs w:val="28"/>
        </w:rPr>
        <w:t>В рамках информационного обмена на постоянной основе направлять в адрес КАЭС сведения о показании общего прибора учета на «Норвежскую деревню».</w:t>
      </w:r>
    </w:p>
    <w:p>
      <w:pPr>
        <w:pStyle w:val="para7"/>
        <w:numPr>
          <w:ilvl w:val="1"/>
          <w:numId w:val="14"/>
        </w:numPr>
        <w:ind w:left="0" w:firstLine="993"/>
        <w:spacing/>
        <w:jc w:val="both"/>
        <w:tabs>
          <w:tab w:val="left" w:pos="1134" w:leader="none"/>
          <w:tab w:val="left" w:pos="1560" w:leader="none"/>
        </w:tabs>
        <w:rPr>
          <w:rFonts w:ascii="Times New Roman" w:hAnsi="Times New Roman"/>
          <w:szCs w:val="28"/>
        </w:rPr>
      </w:pPr>
      <w:r>
        <w:rPr>
          <w:rFonts w:ascii="Times New Roman" w:hAnsi="Times New Roman"/>
          <w:szCs w:val="28"/>
        </w:rPr>
        <w:t>Предоставить в адрес КАЭС гарантийное письмо с указанием мероприятий и графика погашения задолженности за потребленную электроэнергию с учетом текущих выставлений.</w:t>
      </w:r>
    </w:p>
    <w:p>
      <w:pPr>
        <w:pStyle w:val="para7"/>
        <w:ind w:left="993"/>
        <w:spacing/>
        <w:jc w:val="both"/>
        <w:tabs>
          <w:tab w:val="left" w:pos="1134" w:leader="none"/>
          <w:tab w:val="left" w:pos="1560" w:leader="none"/>
        </w:tabs>
        <w:rPr>
          <w:rFonts w:ascii="Times New Roman" w:hAnsi="Times New Roman"/>
          <w:szCs w:val="28"/>
        </w:rPr>
      </w:pPr>
      <w:r>
        <w:rPr>
          <w:rFonts w:ascii="Times New Roman" w:hAnsi="Times New Roman"/>
          <w:szCs w:val="28"/>
        </w:rPr>
        <w:t>Срок – 30.04.2019.</w:t>
      </w:r>
    </w:p>
    <w:p>
      <w:pPr>
        <w:pStyle w:val="para7"/>
        <w:numPr>
          <w:ilvl w:val="1"/>
          <w:numId w:val="14"/>
        </w:numPr>
        <w:ind w:left="0" w:firstLine="993"/>
        <w:spacing/>
        <w:jc w:val="both"/>
        <w:tabs>
          <w:tab w:val="left" w:pos="1134" w:leader="none"/>
          <w:tab w:val="left" w:pos="1560" w:leader="none"/>
        </w:tabs>
        <w:rPr>
          <w:rFonts w:ascii="Times New Roman" w:hAnsi="Times New Roman"/>
          <w:szCs w:val="28"/>
        </w:rPr>
      </w:pPr>
      <w:r>
        <w:rPr>
          <w:rFonts w:ascii="Times New Roman" w:hAnsi="Times New Roman"/>
          <w:szCs w:val="28"/>
        </w:rPr>
        <w:t>Интенсифицировать процесс реализации земельных участок в рамках Агентского договора.</w:t>
      </w:r>
    </w:p>
    <w:p>
      <w:pPr>
        <w:pStyle w:val="para7"/>
        <w:ind w:left="0" w:firstLine="709"/>
        <w:spacing/>
        <w:jc w:val="both"/>
        <w:tabs>
          <w:tab w:val="left" w:pos="1134" w:leader="none"/>
          <w:tab w:val="left" w:pos="8647" w:leader="none"/>
        </w:tabs>
        <w:rPr>
          <w:rFonts w:ascii="Times New Roman" w:hAnsi="Times New Roman"/>
          <w:szCs w:val="28"/>
        </w:rPr>
      </w:pPr>
      <w:r>
        <w:rPr>
          <w:rFonts w:ascii="Times New Roman" w:hAnsi="Times New Roman"/>
          <w:szCs w:val="28"/>
        </w:rPr>
      </w:r>
    </w:p>
    <w:p>
      <w:pPr>
        <w:pStyle w:val="para7"/>
        <w:ind w:left="0" w:firstLine="709"/>
        <w:spacing/>
        <w:jc w:val="both"/>
        <w:tabs>
          <w:tab w:val="left" w:pos="1134" w:leader="none"/>
          <w:tab w:val="left" w:pos="8647" w:leader="none"/>
        </w:tabs>
        <w:rPr>
          <w:rFonts w:ascii="Times New Roman" w:hAnsi="Times New Roman"/>
          <w:szCs w:val="28"/>
        </w:rPr>
      </w:pPr>
      <w:r>
        <w:rPr>
          <w:rFonts w:ascii="Times New Roman" w:hAnsi="Times New Roman"/>
          <w:szCs w:val="28"/>
        </w:rPr>
      </w:r>
    </w:p>
    <w:tbl>
      <w:tblPr>
        <w:name w:val="Таблица2"/>
        <w:tabOrder w:val="0"/>
        <w:jc w:val="left"/>
        <w:tblInd w:w="0" w:type="dxa"/>
        <w:tblW w:w="10195" w:type="dxa"/>
      </w:tblPr>
      <w:tblGrid>
        <w:gridCol w:w="6437"/>
        <w:gridCol w:w="3758"/>
      </w:tblGrid>
      <w:tr>
        <w:trPr>
          <w:trHeight w:val="0" w:hRule="auto"/>
        </w:trPr>
        <w:tc>
          <w:tcPr>
            <w:tcW w:w="6437"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Cs w:val="28"/>
              </w:rPr>
            </w:pPr>
            <w:r>
              <w:rPr>
                <w:rFonts w:ascii="Times New Roman" w:hAnsi="Times New Roman"/>
                <w:szCs w:val="28"/>
              </w:rPr>
              <w:t xml:space="preserve">Котликов Валерий Борисович                                 </w:t>
            </w:r>
          </w:p>
        </w:tc>
        <w:tc>
          <w:tcPr>
            <w:tcW w:w="3758" w:type="dxa"/>
            <w:tcMar>
              <w:top w:w="0" w:type="dxa"/>
              <w:left w:w="108" w:type="dxa"/>
              <w:bottom w:w="0" w:type="dxa"/>
              <w:right w:w="108" w:type="dxa"/>
            </w:tcMar>
            <w:tcBorders>
              <w:top w:val="nil" w:sz="0" w:space="0" w:color="000000" tmln="20, 20, 20, 0"/>
              <w:left w:val="nil" w:sz="0" w:space="0" w:color="000000" tmln="20, 20, 20, 0"/>
              <w:bottom w:val="single" w:sz="4" w:space="0" w:color="000000" tmln="1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Cs w:val="28"/>
              </w:rPr>
            </w:pPr>
            <w:r>
              <w:rPr>
                <w:rFonts w:ascii="Times New Roman" w:hAnsi="Times New Roman"/>
                <w:szCs w:val="28"/>
              </w:rPr>
            </w:r>
          </w:p>
        </w:tc>
      </w:tr>
      <w:tr>
        <w:trPr>
          <w:trHeight w:val="0" w:hRule="auto"/>
        </w:trPr>
        <w:tc>
          <w:tcPr>
            <w:tcW w:w="6437"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Cs w:val="28"/>
              </w:rPr>
            </w:pPr>
            <w:r>
              <w:rPr>
                <w:rFonts w:ascii="Times New Roman" w:hAnsi="Times New Roman"/>
                <w:szCs w:val="28"/>
              </w:rPr>
            </w:r>
          </w:p>
          <w:p>
            <w:pPr>
              <w:spacing/>
              <w:jc w:val="both"/>
              <w:rPr>
                <w:rFonts w:ascii="Times New Roman" w:hAnsi="Times New Roman"/>
                <w:szCs w:val="28"/>
              </w:rPr>
            </w:pPr>
            <w:r>
              <w:rPr>
                <w:rFonts w:ascii="Times New Roman" w:hAnsi="Times New Roman"/>
                <w:szCs w:val="28"/>
              </w:rPr>
              <w:t>Лукичев Сергей Владимирович</w:t>
            </w:r>
          </w:p>
        </w:tc>
        <w:tc>
          <w:tcPr>
            <w:tcW w:w="3758" w:type="dxa"/>
            <w:tcMar>
              <w:top w:w="0" w:type="dxa"/>
              <w:left w:w="108" w:type="dxa"/>
              <w:bottom w:w="0" w:type="dxa"/>
              <w:right w:w="108" w:type="dxa"/>
            </w:tcMar>
            <w:tcBorders>
              <w:top w:val="nil" w:sz="0" w:space="0" w:color="000000" tmln="20, 20, 20, 0"/>
              <w:left w:val="nil" w:sz="0" w:space="0" w:color="000000" tmln="20, 20, 20, 0"/>
              <w:bottom w:val="single" w:sz="4" w:space="0" w:color="000000" tmln="1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Cs w:val="28"/>
              </w:rPr>
            </w:pPr>
            <w:r>
              <w:rPr>
                <w:rFonts w:ascii="Times New Roman" w:hAnsi="Times New Roman"/>
                <w:szCs w:val="28"/>
              </w:rPr>
            </w:r>
          </w:p>
        </w:tc>
      </w:tr>
      <w:tr>
        <w:trPr>
          <w:trHeight w:val="0" w:hRule="auto"/>
        </w:trPr>
        <w:tc>
          <w:tcPr>
            <w:tcW w:w="6437" w:type="dxa"/>
            <w:tcMar>
              <w:top w:w="0" w:type="dxa"/>
              <w:left w:w="108" w:type="dxa"/>
              <w:bottom w:w="0" w:type="dxa"/>
              <w:right w:w="108" w:type="dxa"/>
            </w:tcMar>
            <w:tcBorders>
              <w:top w:val="nil" w:sz="0" w:space="0" w:color="000000" tmln="20, 20, 20, 0"/>
              <w:left w:val="nil" w:sz="0" w:space="0" w:color="000000" tmln="20, 20, 20, 0"/>
              <w:bottom w:val="nil" w:sz="0" w:space="0" w:color="000000" tmln="2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Cs w:val="28"/>
              </w:rPr>
            </w:pPr>
            <w:r>
              <w:rPr>
                <w:rFonts w:ascii="Times New Roman" w:hAnsi="Times New Roman"/>
                <w:szCs w:val="28"/>
              </w:rPr>
            </w:r>
          </w:p>
          <w:p>
            <w:pPr>
              <w:spacing/>
              <w:jc w:val="both"/>
              <w:rPr>
                <w:rFonts w:ascii="Times New Roman" w:hAnsi="Times New Roman"/>
                <w:szCs w:val="28"/>
              </w:rPr>
            </w:pPr>
            <w:r>
              <w:rPr>
                <w:rFonts w:ascii="Times New Roman" w:hAnsi="Times New Roman"/>
                <w:szCs w:val="28"/>
              </w:rPr>
              <w:t>Гречаный Сергей Петрович</w:t>
            </w:r>
          </w:p>
          <w:p>
            <w:pPr>
              <w:spacing/>
              <w:jc w:val="both"/>
              <w:rPr>
                <w:rFonts w:ascii="Times New Roman" w:hAnsi="Times New Roman"/>
                <w:szCs w:val="28"/>
              </w:rPr>
            </w:pPr>
            <w:r>
              <w:rPr>
                <w:rFonts w:ascii="Times New Roman" w:hAnsi="Times New Roman"/>
                <w:szCs w:val="28"/>
              </w:rPr>
            </w:r>
          </w:p>
          <w:p>
            <w:pPr>
              <w:spacing/>
              <w:jc w:val="both"/>
              <w:rPr>
                <w:rFonts w:ascii="Times New Roman" w:hAnsi="Times New Roman"/>
                <w:szCs w:val="28"/>
              </w:rPr>
            </w:pPr>
            <w:r>
              <w:rPr>
                <w:rFonts w:ascii="Times New Roman" w:hAnsi="Times New Roman"/>
                <w:szCs w:val="28"/>
              </w:rPr>
              <w:t>Евдосюк Сергей Николаевич</w:t>
            </w:r>
          </w:p>
        </w:tc>
        <w:tc>
          <w:tcPr>
            <w:tcW w:w="3758" w:type="dxa"/>
            <w:tcMar>
              <w:top w:w="0" w:type="dxa"/>
              <w:left w:w="108" w:type="dxa"/>
              <w:bottom w:w="0" w:type="dxa"/>
              <w:right w:w="108" w:type="dxa"/>
            </w:tcMar>
            <w:tcBorders>
              <w:top w:val="single" w:sz="4" w:space="0" w:color="000000" tmln="10, 20, 20, 0"/>
              <w:left w:val="nil" w:sz="0" w:space="0" w:color="000000" tmln="20, 20, 20, 0"/>
              <w:bottom w:val="single" w:sz="4" w:space="0" w:color="000000" tmln="10, 20, 20, 0"/>
              <w:right w:val="nil" w:sz="0" w:space="0" w:color="000000" tmln="20, 20, 20, 0"/>
              <w:tl2br w:val="nil" w:sz="0" w:space="0" w:color="000000" tmln="20, 20, 20, 0"/>
              <w:tr2bl w:val="nil" w:sz="0" w:space="0" w:color="000000" tmln="20, 20, 20, 0"/>
            </w:tcBorders>
            <w:tmTcPr id="1556897202" protected="0"/>
          </w:tcPr>
          <w:p>
            <w:pPr>
              <w:spacing/>
              <w:jc w:val="both"/>
              <w:rPr>
                <w:rFonts w:ascii="Times New Roman" w:hAnsi="Times New Roman"/>
                <w:szCs w:val="28"/>
              </w:rPr>
            </w:pPr>
            <w:r>
              <w:rPr>
                <w:rFonts w:ascii="Times New Roman" w:hAnsi="Times New Roman"/>
                <w:szCs w:val="28"/>
              </w:rPr>
            </w:r>
          </w:p>
        </w:tc>
      </w:tr>
    </w:tbl>
    <w:p>
      <w:pPr>
        <w:pStyle w:val="para7"/>
        <w:ind w:left="0"/>
        <w:spacing/>
        <w:jc w:val="both"/>
        <w:tabs>
          <w:tab w:val="left" w:pos="1134" w:leader="none"/>
          <w:tab w:val="left" w:pos="8647" w:leader="none"/>
        </w:tabs>
        <w:rPr>
          <w:rFonts w:ascii="Times New Roman" w:hAnsi="Times New Roman"/>
          <w:sz w:val="2"/>
          <w:szCs w:val="2"/>
        </w:rPr>
      </w:pPr>
      <w:r>
        <w:rPr>
          <w:rFonts w:ascii="Times New Roman" w:hAnsi="Times New Roman"/>
          <w:sz w:val="2"/>
          <w:szCs w:val="2"/>
        </w:rPr>
      </w:r>
    </w:p>
    <w:sectPr>
      <w:footnotePr>
        <w:pos w:val="pageBottom"/>
        <w:numFmt w:val="decimal"/>
        <w:numStart w:val="1"/>
        <w:numRestart w:val="continuous"/>
      </w:footnotePr>
      <w:endnotePr>
        <w:pos w:val="docEnd"/>
        <w:numFmt w:val="decimal"/>
        <w:numStart w:val="1"/>
        <w:numRestart w:val="continuous"/>
      </w:endnotePr>
      <w:headerReference w:type="default" r:id="rId11"/>
      <w:headerReference w:type="first" r:id="rId12"/>
      <w:type w:val="nextPage"/>
      <w:pgSz w:h="16838" w:w="11906"/>
      <w:pgMar w:left="1134" w:top="284" w:right="567" w:bottom="1560" w:header="709"/>
      <w:paperSrc w:first="0" w:other="0"/>
      <w:pgNumType w:fmt="decimal"/>
      <w:titlePg/>
      <w:tmGutter w:val="3"/>
      <w:mirrorMargins w:val="0"/>
      <w:tmSection w:h="-2">
        <w:tmHeader w:id="0" w:h="0" edge="709" text="0">
          <w:shd w:val="none"/>
        </w:tmHeader>
        <w:tmHeader w:id="2" w:h="0" edge="709" text="0">
          <w:shd w:val="none"/>
        </w:tmHead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font>
  <w:font w:name="SimSun">
    <w:panose1 w:val="02010600030101010101"/>
    <w:charset w:val="00"/>
    <w:family w:val="auto"/>
    <w:pitch w:val="default"/>
  </w:font>
  <w:font w:name="Arial">
    <w:panose1 w:val="020B0604020202020204"/>
    <w:charset w:val="cc"/>
    <w:family w:val="swiss"/>
    <w:pitch w:val="default"/>
  </w:font>
  <w:font w:name="Calibri">
    <w:panose1 w:val="020F0502020204030204"/>
    <w:charset w:val="cc"/>
    <w:family w:val="swiss"/>
    <w:pitch w:val="default"/>
  </w:font>
  <w:font w:name="NTHelvetica/Cyrillic">
    <w:panose1 w:val="020B0604020202020204"/>
    <w:charset w:val="00"/>
    <w:family w:val="auto"/>
    <w:pitch w:val="default"/>
  </w:font>
  <w:font w:name="Tahoma">
    <w:panose1 w:val="020B0604030504040204"/>
    <w:charset w:val="cc"/>
    <w:family w:val="swiss"/>
    <w:pitch w:val="default"/>
  </w:font>
  <w:font w:name="Lucida Sans Unicode">
    <w:panose1 w:val="020B0602030504020204"/>
    <w:charset w:val="cc"/>
    <w:family w:val="swiss"/>
    <w:pitch w:val="default"/>
  </w:font>
  <w:font w:name="Mangal">
    <w:panose1 w:val="02040503050203030202"/>
    <w:charset w:val="00"/>
    <w:family w:val="roman"/>
    <w:pitch w:val="default"/>
  </w:font>
  <w:font w:name="Cambria">
    <w:panose1 w:val="02040503050406030204"/>
    <w:charset w:val="cc"/>
    <w:family w:val="roman"/>
    <w:pitch w:val="default"/>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9"/>
      <w:spacing/>
      <w:jc w:val="center"/>
    </w:pPr>
    <w:r>
      <w:fldChar w:fldCharType="begin"/>
      <w:instrText xml:space="preserve"> PAGE </w:instrText>
      <w:fldChar w:fldCharType="separate"/>
      <w:t>4</w:t>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9"/>
      <w:ind w:firstLine="708"/>
      <w:rPr>
        <w:lang w:val="en-us"/>
      </w:rPr>
    </w:pPr>
    <w:r>
      <w:rPr>
        <w:lang w:val="en-u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rPr/>
    </w:lvl>
    <w:lvl w:ilvl="1">
      <w:numFmt w:val="none"/>
      <w:lvlText w:val=""/>
      <w:lvlJc w:val="left"/>
      <w:pPr>
        <w:tabs>
          <w:tab w:val="num" w:pos="360"/>
        </w:tabs>
        <w:ind w:left="360" w:hanging="360"/>
      </w:pPr>
      <w:rPr/>
    </w:lvl>
    <w:lvl w:ilvl="2">
      <w:numFmt w:val="none"/>
      <w:lvlText w:val=""/>
      <w:lvlJc w:val="left"/>
      <w:pPr>
        <w:tabs>
          <w:tab w:val="num" w:pos="360"/>
        </w:tabs>
        <w:ind w:left="360" w:hanging="360"/>
      </w:pPr>
      <w:rPr/>
    </w:lvl>
    <w:lvl w:ilvl="3">
      <w:numFmt w:val="none"/>
      <w:lvlText w:val=""/>
      <w:lvlJc w:val="left"/>
      <w:pPr>
        <w:tabs>
          <w:tab w:val="num" w:pos="360"/>
        </w:tabs>
        <w:ind w:left="360" w:hanging="360"/>
      </w:pPr>
      <w:rPr/>
    </w:lvl>
    <w:lvl w:ilvl="4">
      <w:numFmt w:val="none"/>
      <w:lvlText w:val=""/>
      <w:lvlJc w:val="left"/>
      <w:pPr>
        <w:tabs>
          <w:tab w:val="num" w:pos="360"/>
        </w:tabs>
        <w:ind w:left="360" w:hanging="360"/>
      </w:pPr>
      <w:rPr/>
    </w:lvl>
    <w:lvl w:ilvl="5">
      <w:numFmt w:val="none"/>
      <w:lvlText w:val=""/>
      <w:lvlJc w:val="left"/>
      <w:pPr>
        <w:tabs>
          <w:tab w:val="num" w:pos="360"/>
        </w:tabs>
        <w:ind w:left="360" w:hanging="360"/>
      </w:pPr>
      <w:rPr/>
    </w:lvl>
    <w:lvl w:ilvl="6">
      <w:numFmt w:val="none"/>
      <w:lvlText w:val=""/>
      <w:lvlJc w:val="left"/>
      <w:pPr>
        <w:tabs>
          <w:tab w:val="num" w:pos="360"/>
        </w:tabs>
        <w:ind w:left="360" w:hanging="360"/>
      </w:pPr>
      <w:rPr/>
    </w:lvl>
    <w:lvl w:ilvl="7">
      <w:numFmt w:val="none"/>
      <w:lvlText w:val=""/>
      <w:lvlJc w:val="left"/>
      <w:pPr>
        <w:tabs>
          <w:tab w:val="num" w:pos="360"/>
        </w:tabs>
        <w:ind w:left="360" w:hanging="360"/>
      </w:pPr>
      <w:rPr/>
    </w:lvl>
    <w:lvl w:ilvl="8">
      <w:numFmt w:val="none"/>
      <w:lvlText w:val=""/>
      <w:lvlJc w:val="left"/>
      <w:pPr>
        <w:tabs>
          <w:tab w:val="num" w:pos="360"/>
        </w:tabs>
        <w:ind w:left="360" w:hanging="360"/>
      </w:pPr>
      <w:rPr/>
    </w:lvl>
  </w:abstractNum>
  <w:abstractNum w:abstractNumId="1">
    <w:multiLevelType w:val="hybridMultilevel"/>
    <w:name w:val="Нумерованный список 1"/>
    <w:lvl w:ilvl="0">
      <w:start w:val="1"/>
      <w:numFmt w:val="decimal"/>
      <w:suff w:val="tab"/>
      <w:lvlText w:val="%1."/>
      <w:lvlJc w:val="left"/>
      <w:pPr>
        <w:ind w:left="360" w:hanging="0"/>
      </w:pPr>
      <w:rPr/>
    </w:lvl>
    <w:lvl w:ilvl="1">
      <w:start w:val="1"/>
      <w:numFmt w:val="lowerLetter"/>
      <w:suff w:val="tab"/>
      <w:lvlText w:val="%2."/>
      <w:lvlJc w:val="left"/>
      <w:pPr>
        <w:ind w:left="1080" w:hanging="0"/>
      </w:pPr>
      <w:rPr/>
    </w:lvl>
    <w:lvl w:ilvl="2">
      <w:start w:val="1"/>
      <w:numFmt w:val="lowerRoman"/>
      <w:suff w:val="tab"/>
      <w:lvlText w:val="%3."/>
      <w:lvlJc w:val="left"/>
      <w:pPr>
        <w:ind w:left="1980" w:hanging="0"/>
      </w:pPr>
      <w:rPr/>
    </w:lvl>
    <w:lvl w:ilvl="3">
      <w:start w:val="1"/>
      <w:numFmt w:val="decimal"/>
      <w:suff w:val="tab"/>
      <w:lvlText w:val="%4."/>
      <w:lvlJc w:val="left"/>
      <w:pPr>
        <w:ind w:left="2520" w:hanging="0"/>
      </w:pPr>
      <w:rPr/>
    </w:lvl>
    <w:lvl w:ilvl="4">
      <w:start w:val="1"/>
      <w:numFmt w:val="lowerLetter"/>
      <w:suff w:val="tab"/>
      <w:lvlText w:val="%5."/>
      <w:lvlJc w:val="left"/>
      <w:pPr>
        <w:ind w:left="3240" w:hanging="0"/>
      </w:pPr>
      <w:rPr/>
    </w:lvl>
    <w:lvl w:ilvl="5">
      <w:start w:val="1"/>
      <w:numFmt w:val="lowerRoman"/>
      <w:suff w:val="tab"/>
      <w:lvlText w:val="%6."/>
      <w:lvlJc w:val="left"/>
      <w:pPr>
        <w:ind w:left="4140" w:hanging="0"/>
      </w:pPr>
      <w:rPr/>
    </w:lvl>
    <w:lvl w:ilvl="6">
      <w:start w:val="1"/>
      <w:numFmt w:val="decimal"/>
      <w:suff w:val="tab"/>
      <w:lvlText w:val="%7."/>
      <w:lvlJc w:val="left"/>
      <w:pPr>
        <w:ind w:left="4680" w:hanging="0"/>
      </w:pPr>
      <w:rPr/>
    </w:lvl>
    <w:lvl w:ilvl="7">
      <w:start w:val="1"/>
      <w:numFmt w:val="lowerLetter"/>
      <w:suff w:val="tab"/>
      <w:lvlText w:val="%8."/>
      <w:lvlJc w:val="left"/>
      <w:pPr>
        <w:ind w:left="5400" w:hanging="0"/>
      </w:pPr>
      <w:rPr/>
    </w:lvl>
    <w:lvl w:ilvl="8">
      <w:start w:val="1"/>
      <w:numFmt w:val="lowerRoman"/>
      <w:suff w:val="tab"/>
      <w:lvlText w:val="%9."/>
      <w:lvlJc w:val="left"/>
      <w:pPr>
        <w:ind w:left="6300" w:hanging="0"/>
      </w:pPr>
      <w:rPr/>
    </w:lvl>
  </w:abstractNum>
  <w:abstractNum w:abstractNumId="2">
    <w:multiLevelType w:val="hybridMultilevel"/>
    <w:name w:val="Нумерованный список 2"/>
    <w:lvl w:ilvl="0">
      <w:start w:val="1"/>
      <w:numFmt w:val="decimal"/>
      <w:suff w:val="tab"/>
      <w:lvlText w:val="%1."/>
      <w:lvlJc w:val="left"/>
      <w:pPr>
        <w:ind w:left="0" w:hanging="0"/>
      </w:pPr>
      <w:rPr/>
    </w:lvl>
    <w:lvl w:ilvl="1">
      <w:start w:val="1"/>
      <w:numFmt w:val="decimal"/>
      <w:suff w:val="tab"/>
      <w:lvlText w:val="%1.%2"/>
      <w:lvlJc w:val="left"/>
      <w:pPr>
        <w:ind w:left="1277" w:hanging="0"/>
      </w:pPr>
      <w:rPr/>
    </w:lvl>
    <w:lvl w:ilvl="2">
      <w:start w:val="1"/>
      <w:numFmt w:val="decimal"/>
      <w:suff w:val="tab"/>
      <w:lvlText w:val="%1.%2.%3"/>
      <w:lvlJc w:val="left"/>
      <w:pPr>
        <w:ind w:left="2706" w:hanging="0"/>
      </w:pPr>
      <w:rPr/>
    </w:lvl>
    <w:lvl w:ilvl="3">
      <w:start w:val="1"/>
      <w:numFmt w:val="decimal"/>
      <w:suff w:val="tab"/>
      <w:lvlText w:val="%1.%2.%3.%4"/>
      <w:lvlJc w:val="left"/>
      <w:pPr>
        <w:ind w:left="4059" w:hanging="0"/>
      </w:pPr>
      <w:rPr/>
    </w:lvl>
    <w:lvl w:ilvl="4">
      <w:start w:val="1"/>
      <w:numFmt w:val="decimal"/>
      <w:suff w:val="tab"/>
      <w:lvlText w:val="%1.%2.%3.%4.%5"/>
      <w:lvlJc w:val="left"/>
      <w:pPr>
        <w:ind w:left="5412" w:hanging="0"/>
      </w:pPr>
      <w:rPr/>
    </w:lvl>
    <w:lvl w:ilvl="5">
      <w:start w:val="1"/>
      <w:numFmt w:val="decimal"/>
      <w:suff w:val="tab"/>
      <w:lvlText w:val="%1.%2.%3.%4.%5.%6"/>
      <w:lvlJc w:val="left"/>
      <w:pPr>
        <w:ind w:left="6765" w:hanging="0"/>
      </w:pPr>
      <w:rPr/>
    </w:lvl>
    <w:lvl w:ilvl="6">
      <w:start w:val="1"/>
      <w:numFmt w:val="decimal"/>
      <w:suff w:val="tab"/>
      <w:lvlText w:val="%1.%2.%3.%4.%5.%6.%7"/>
      <w:lvlJc w:val="left"/>
      <w:pPr>
        <w:ind w:left="8118" w:hanging="0"/>
      </w:pPr>
      <w:rPr/>
    </w:lvl>
    <w:lvl w:ilvl="7">
      <w:start w:val="1"/>
      <w:numFmt w:val="decimal"/>
      <w:suff w:val="tab"/>
      <w:lvlText w:val="%1.%2.%3.%4.%5.%6.%7.%8"/>
      <w:lvlJc w:val="left"/>
      <w:pPr>
        <w:ind w:left="9471" w:hanging="0"/>
      </w:pPr>
      <w:rPr/>
    </w:lvl>
    <w:lvl w:ilvl="8">
      <w:start w:val="1"/>
      <w:numFmt w:val="decimal"/>
      <w:suff w:val="tab"/>
      <w:lvlText w:val="%1.%2.%3.%4.%5.%6.%7.%8.%9"/>
      <w:lvlJc w:val="left"/>
      <w:pPr>
        <w:ind w:left="10824" w:hanging="0"/>
      </w:pPr>
      <w:rPr/>
    </w:lvl>
  </w:abstractNum>
  <w:abstractNum w:abstractNumId="3">
    <w:multiLevelType w:val="hybridMultilevel"/>
    <w:name w:val="Нумерованный список 3"/>
    <w:lvl w:ilvl="0">
      <w:start w:val="1"/>
      <w:numFmt w:val="decimal"/>
      <w:suff w:val="tab"/>
      <w:lvlText w:val="%1."/>
      <w:lvlJc w:val="left"/>
      <w:pPr>
        <w:ind w:left="360" w:hanging="0"/>
      </w:pPr>
      <w:rPr>
        <w:rPr>
          <w:b w:val="0"/>
        </w:rPr>
      </w:rPr>
    </w:lvl>
    <w:lvl w:ilvl="1">
      <w:start w:val="2"/>
      <w:numFmt w:val="decimal"/>
      <w:suff w:val="tab"/>
      <w:lvlText w:val="%1.%2."/>
      <w:lvlJc w:val="left"/>
      <w:pPr>
        <w:ind w:left="720" w:hanging="0"/>
      </w:pPr>
      <w:rPr/>
    </w:lvl>
    <w:lvl w:ilvl="2">
      <w:start w:val="1"/>
      <w:numFmt w:val="decimal"/>
      <w:suff w:val="tab"/>
      <w:lvlText w:val="%1.%2.%3."/>
      <w:lvlJc w:val="left"/>
      <w:pPr>
        <w:ind w:left="1080" w:hanging="0"/>
      </w:pPr>
      <w:rPr/>
    </w:lvl>
    <w:lvl w:ilvl="3">
      <w:start w:val="1"/>
      <w:numFmt w:val="decimal"/>
      <w:suff w:val="tab"/>
      <w:lvlText w:val="%1.%2.%3.%4."/>
      <w:lvlJc w:val="left"/>
      <w:pPr>
        <w:ind w:left="1440" w:hanging="0"/>
      </w:pPr>
      <w:rPr/>
    </w:lvl>
    <w:lvl w:ilvl="4">
      <w:start w:val="1"/>
      <w:numFmt w:val="decimal"/>
      <w:suff w:val="tab"/>
      <w:lvlText w:val="%1.%2.%3.%4.%5."/>
      <w:lvlJc w:val="left"/>
      <w:pPr>
        <w:ind w:left="1800" w:hanging="0"/>
      </w:pPr>
      <w:rPr/>
    </w:lvl>
    <w:lvl w:ilvl="5">
      <w:start w:val="1"/>
      <w:numFmt w:val="decimal"/>
      <w:suff w:val="tab"/>
      <w:lvlText w:val="%1.%2.%3.%4.%5.%6."/>
      <w:lvlJc w:val="left"/>
      <w:pPr>
        <w:ind w:left="2160" w:hanging="0"/>
      </w:pPr>
      <w:rPr/>
    </w:lvl>
    <w:lvl w:ilvl="6">
      <w:start w:val="1"/>
      <w:numFmt w:val="decimal"/>
      <w:suff w:val="tab"/>
      <w:lvlText w:val="%1.%2.%3.%4.%5.%6.%7."/>
      <w:lvlJc w:val="left"/>
      <w:pPr>
        <w:ind w:left="2520" w:hanging="0"/>
      </w:pPr>
      <w:rPr/>
    </w:lvl>
    <w:lvl w:ilvl="7">
      <w:start w:val="1"/>
      <w:numFmt w:val="decimal"/>
      <w:suff w:val="tab"/>
      <w:lvlText w:val="%1.%2.%3.%4.%5.%6.%7.%8."/>
      <w:lvlJc w:val="left"/>
      <w:pPr>
        <w:ind w:left="2880" w:hanging="0"/>
      </w:pPr>
      <w:rPr/>
    </w:lvl>
    <w:lvl w:ilvl="8">
      <w:start w:val="1"/>
      <w:numFmt w:val="decimal"/>
      <w:suff w:val="tab"/>
      <w:lvlText w:val="%1.%2.%3.%4.%5.%6.%7.%8.%9."/>
      <w:lvlJc w:val="left"/>
      <w:pPr>
        <w:ind w:left="3240" w:hanging="0"/>
      </w:pPr>
      <w:rPr/>
    </w:lvl>
  </w:abstractNum>
  <w:abstractNum w:abstractNumId="4">
    <w:multiLevelType w:val="hybridMultilevel"/>
    <w:name w:val="Нумерованный список 4"/>
    <w:lvl w:ilvl="0">
      <w:start w:val="1"/>
      <w:numFmt w:val="decimal"/>
      <w:suff w:val="tab"/>
      <w:lvlText w:val="%1."/>
      <w:lvlJc w:val="left"/>
      <w:pPr>
        <w:ind w:left="709" w:hanging="0"/>
      </w:pPr>
      <w:rPr/>
    </w:lvl>
    <w:lvl w:ilvl="1">
      <w:start w:val="1"/>
      <w:numFmt w:val="decimal"/>
      <w:suff w:val="tab"/>
      <w:lvlText w:val="%1.%2."/>
      <w:lvlJc w:val="left"/>
      <w:pPr>
        <w:ind w:left="360" w:hanging="0"/>
      </w:pPr>
      <w:rPr/>
    </w:lvl>
    <w:lvl w:ilvl="2">
      <w:start w:val="1"/>
      <w:numFmt w:val="decimal"/>
      <w:suff w:val="tab"/>
      <w:lvlText w:val="%1.%2.%3."/>
      <w:lvlJc w:val="left"/>
      <w:pPr>
        <w:ind w:left="720" w:hanging="0"/>
      </w:pPr>
      <w:rPr/>
    </w:lvl>
    <w:lvl w:ilvl="3">
      <w:start w:val="1"/>
      <w:numFmt w:val="decimal"/>
      <w:suff w:val="tab"/>
      <w:lvlText w:val="%1.%2.%3.%4."/>
      <w:lvlJc w:val="left"/>
      <w:pPr>
        <w:ind w:left="1080" w:hanging="0"/>
      </w:pPr>
      <w:rPr/>
    </w:lvl>
    <w:lvl w:ilvl="4">
      <w:start w:val="1"/>
      <w:numFmt w:val="decimal"/>
      <w:suff w:val="tab"/>
      <w:lvlText w:val="%1.%2.%3.%4.%5."/>
      <w:lvlJc w:val="left"/>
      <w:pPr>
        <w:ind w:left="1440" w:hanging="0"/>
      </w:pPr>
      <w:rPr/>
    </w:lvl>
    <w:lvl w:ilvl="5">
      <w:start w:val="1"/>
      <w:numFmt w:val="decimal"/>
      <w:suff w:val="tab"/>
      <w:lvlText w:val="%1.%2.%3.%4.%5.%6."/>
      <w:lvlJc w:val="left"/>
      <w:pPr>
        <w:ind w:left="1800" w:hanging="0"/>
      </w:pPr>
      <w:rPr/>
    </w:lvl>
    <w:lvl w:ilvl="6">
      <w:start w:val="1"/>
      <w:numFmt w:val="decimal"/>
      <w:suff w:val="tab"/>
      <w:lvlText w:val="%1.%2.%3.%4.%5.%6.%7."/>
      <w:lvlJc w:val="left"/>
      <w:pPr>
        <w:ind w:left="2160" w:hanging="0"/>
      </w:pPr>
      <w:rPr/>
    </w:lvl>
    <w:lvl w:ilvl="7">
      <w:start w:val="1"/>
      <w:numFmt w:val="decimal"/>
      <w:suff w:val="tab"/>
      <w:lvlText w:val="%1.%2.%3.%4.%5.%6.%7.%8."/>
      <w:lvlJc w:val="left"/>
      <w:pPr>
        <w:ind w:left="2520" w:hanging="0"/>
      </w:pPr>
      <w:rPr/>
    </w:lvl>
    <w:lvl w:ilvl="8">
      <w:start w:val="1"/>
      <w:numFmt w:val="decimal"/>
      <w:suff w:val="tab"/>
      <w:lvlText w:val="%1.%2.%3.%4.%5.%6.%7.%8.%9."/>
      <w:lvlJc w:val="left"/>
      <w:pPr>
        <w:ind w:left="2880" w:hanging="0"/>
      </w:pPr>
      <w:rPr/>
    </w:lvl>
  </w:abstractNum>
  <w:abstractNum w:abstractNumId="5">
    <w:multiLevelType w:val="hybridMultilevel"/>
    <w:name w:val="Нумерованный список 5"/>
    <w:lvl w:ilvl="0">
      <w:start w:val="1"/>
      <w:numFmt w:val="decimal"/>
      <w:suff w:val="tab"/>
      <w:lvlText w:val="%1."/>
      <w:lvlJc w:val="left"/>
      <w:pPr>
        <w:ind w:left="360" w:hanging="0"/>
      </w:pPr>
      <w:rPr/>
    </w:lvl>
    <w:lvl w:ilvl="1">
      <w:start w:val="1"/>
      <w:numFmt w:val="decimal"/>
      <w:suff w:val="tab"/>
      <w:lvlText w:val="%2."/>
      <w:lvlJc w:val="left"/>
      <w:pPr>
        <w:ind w:left="720" w:hanging="0"/>
      </w:pPr>
      <w:rPr/>
    </w:lvl>
    <w:lvl w:ilvl="2">
      <w:start w:val="1"/>
      <w:numFmt w:val="decimal"/>
      <w:suff w:val="tab"/>
      <w:lvlText w:val="%3."/>
      <w:lvlJc w:val="left"/>
      <w:pPr>
        <w:ind w:left="1080" w:hanging="0"/>
      </w:pPr>
      <w:rPr/>
    </w:lvl>
    <w:lvl w:ilvl="3">
      <w:start w:val="1"/>
      <w:numFmt w:val="decimal"/>
      <w:suff w:val="tab"/>
      <w:lvlText w:val="%4."/>
      <w:lvlJc w:val="left"/>
      <w:pPr>
        <w:ind w:left="1440" w:hanging="0"/>
      </w:pPr>
      <w:rPr/>
    </w:lvl>
    <w:lvl w:ilvl="4">
      <w:start w:val="1"/>
      <w:numFmt w:val="decimal"/>
      <w:suff w:val="tab"/>
      <w:lvlText w:val="%5."/>
      <w:lvlJc w:val="left"/>
      <w:pPr>
        <w:ind w:left="1800" w:hanging="0"/>
      </w:pPr>
      <w:rPr/>
    </w:lvl>
    <w:lvl w:ilvl="5">
      <w:start w:val="1"/>
      <w:numFmt w:val="decimal"/>
      <w:suff w:val="tab"/>
      <w:lvlText w:val="%6."/>
      <w:lvlJc w:val="left"/>
      <w:pPr>
        <w:ind w:left="2160" w:hanging="0"/>
      </w:pPr>
      <w:rPr/>
    </w:lvl>
    <w:lvl w:ilvl="6">
      <w:start w:val="1"/>
      <w:numFmt w:val="decimal"/>
      <w:suff w:val="tab"/>
      <w:lvlText w:val="%7."/>
      <w:lvlJc w:val="left"/>
      <w:pPr>
        <w:ind w:left="2520" w:hanging="0"/>
      </w:pPr>
      <w:rPr/>
    </w:lvl>
    <w:lvl w:ilvl="7">
      <w:start w:val="1"/>
      <w:numFmt w:val="decimal"/>
      <w:suff w:val="tab"/>
      <w:lvlText w:val="%8."/>
      <w:lvlJc w:val="left"/>
      <w:pPr>
        <w:ind w:left="2880" w:hanging="0"/>
      </w:pPr>
      <w:rPr/>
    </w:lvl>
    <w:lvl w:ilvl="8">
      <w:start w:val="1"/>
      <w:numFmt w:val="decimal"/>
      <w:suff w:val="tab"/>
      <w:lvlText w:val="%9."/>
      <w:lvlJc w:val="left"/>
      <w:pPr>
        <w:ind w:left="3240" w:hanging="0"/>
      </w:pPr>
      <w:rPr/>
    </w:lvl>
  </w:abstractNum>
  <w:abstractNum w:abstractNumId="6">
    <w:multiLevelType w:val="hybridMultilevel"/>
    <w:name w:val="Нумерованный список 6"/>
    <w:lvl w:ilvl="0">
      <w:start w:val="1"/>
      <w:numFmt w:val="decimal"/>
      <w:suff w:val="tab"/>
      <w:lvlText w:val="1.%1"/>
      <w:lvlJc w:val="left"/>
      <w:pPr>
        <w:ind w:left="426" w:hanging="0"/>
      </w:pPr>
      <w:rPr/>
    </w:lvl>
    <w:lvl w:ilvl="1">
      <w:start w:val="1"/>
      <w:numFmt w:val="lowerLetter"/>
      <w:suff w:val="tab"/>
      <w:lvlText w:val="%2."/>
      <w:lvlJc w:val="left"/>
      <w:pPr>
        <w:ind w:left="1146" w:hanging="0"/>
      </w:pPr>
      <w:rPr/>
    </w:lvl>
    <w:lvl w:ilvl="2">
      <w:start w:val="1"/>
      <w:numFmt w:val="lowerRoman"/>
      <w:suff w:val="tab"/>
      <w:lvlText w:val="%3."/>
      <w:lvlJc w:val="left"/>
      <w:pPr>
        <w:ind w:left="2046" w:hanging="0"/>
      </w:pPr>
      <w:rPr/>
    </w:lvl>
    <w:lvl w:ilvl="3">
      <w:start w:val="1"/>
      <w:numFmt w:val="decimal"/>
      <w:suff w:val="tab"/>
      <w:lvlText w:val="%4."/>
      <w:lvlJc w:val="left"/>
      <w:pPr>
        <w:ind w:left="2586" w:hanging="0"/>
      </w:pPr>
      <w:rPr/>
    </w:lvl>
    <w:lvl w:ilvl="4">
      <w:start w:val="1"/>
      <w:numFmt w:val="lowerLetter"/>
      <w:suff w:val="tab"/>
      <w:lvlText w:val="%5."/>
      <w:lvlJc w:val="left"/>
      <w:pPr>
        <w:ind w:left="3306" w:hanging="0"/>
      </w:pPr>
      <w:rPr/>
    </w:lvl>
    <w:lvl w:ilvl="5">
      <w:start w:val="1"/>
      <w:numFmt w:val="lowerRoman"/>
      <w:suff w:val="tab"/>
      <w:lvlText w:val="%6."/>
      <w:lvlJc w:val="left"/>
      <w:pPr>
        <w:ind w:left="4206" w:hanging="0"/>
      </w:pPr>
      <w:rPr/>
    </w:lvl>
    <w:lvl w:ilvl="6">
      <w:start w:val="1"/>
      <w:numFmt w:val="decimal"/>
      <w:suff w:val="tab"/>
      <w:lvlText w:val="%7."/>
      <w:lvlJc w:val="left"/>
      <w:pPr>
        <w:ind w:left="4746" w:hanging="0"/>
      </w:pPr>
      <w:rPr/>
    </w:lvl>
    <w:lvl w:ilvl="7">
      <w:start w:val="1"/>
      <w:numFmt w:val="lowerLetter"/>
      <w:suff w:val="tab"/>
      <w:lvlText w:val="%8."/>
      <w:lvlJc w:val="left"/>
      <w:pPr>
        <w:ind w:left="5466" w:hanging="0"/>
      </w:pPr>
      <w:rPr/>
    </w:lvl>
    <w:lvl w:ilvl="8">
      <w:start w:val="1"/>
      <w:numFmt w:val="lowerRoman"/>
      <w:suff w:val="tab"/>
      <w:lvlText w:val="%9."/>
      <w:lvlJc w:val="left"/>
      <w:pPr>
        <w:ind w:left="6366" w:hanging="0"/>
      </w:pPr>
      <w:rPr/>
    </w:lvl>
  </w:abstractNum>
  <w:abstractNum w:abstractNumId="7">
    <w:multiLevelType w:val="hybridMultilevel"/>
    <w:name w:val="Нумерованный список 7"/>
    <w:lvl w:ilvl="0">
      <w:start w:val="1"/>
      <w:numFmt w:val="decimal"/>
      <w:suff w:val="tab"/>
      <w:lvlText w:val="%1."/>
      <w:lvlJc w:val="left"/>
      <w:pPr>
        <w:ind w:left="568" w:hanging="0"/>
      </w:pPr>
      <w:rPr/>
    </w:lvl>
    <w:lvl w:ilvl="1">
      <w:start w:val="1"/>
      <w:numFmt w:val="lowerLetter"/>
      <w:suff w:val="tab"/>
      <w:lvlText w:val="%2."/>
      <w:lvlJc w:val="left"/>
      <w:pPr>
        <w:ind w:left="1288" w:hanging="0"/>
      </w:pPr>
      <w:rPr/>
    </w:lvl>
    <w:lvl w:ilvl="2">
      <w:start w:val="1"/>
      <w:numFmt w:val="lowerRoman"/>
      <w:suff w:val="tab"/>
      <w:lvlText w:val="%3."/>
      <w:lvlJc w:val="left"/>
      <w:pPr>
        <w:ind w:left="2188" w:hanging="0"/>
      </w:pPr>
      <w:rPr/>
    </w:lvl>
    <w:lvl w:ilvl="3">
      <w:start w:val="1"/>
      <w:numFmt w:val="decimal"/>
      <w:suff w:val="tab"/>
      <w:lvlText w:val="%4."/>
      <w:lvlJc w:val="left"/>
      <w:pPr>
        <w:ind w:left="2728" w:hanging="0"/>
      </w:pPr>
      <w:rPr/>
    </w:lvl>
    <w:lvl w:ilvl="4">
      <w:start w:val="1"/>
      <w:numFmt w:val="lowerLetter"/>
      <w:suff w:val="tab"/>
      <w:lvlText w:val="%5."/>
      <w:lvlJc w:val="left"/>
      <w:pPr>
        <w:ind w:left="3448" w:hanging="0"/>
      </w:pPr>
      <w:rPr/>
    </w:lvl>
    <w:lvl w:ilvl="5">
      <w:start w:val="1"/>
      <w:numFmt w:val="lowerRoman"/>
      <w:suff w:val="tab"/>
      <w:lvlText w:val="%6."/>
      <w:lvlJc w:val="left"/>
      <w:pPr>
        <w:ind w:left="4348" w:hanging="0"/>
      </w:pPr>
      <w:rPr/>
    </w:lvl>
    <w:lvl w:ilvl="6">
      <w:start w:val="1"/>
      <w:numFmt w:val="decimal"/>
      <w:suff w:val="tab"/>
      <w:lvlText w:val="%7."/>
      <w:lvlJc w:val="left"/>
      <w:pPr>
        <w:ind w:left="4888" w:hanging="0"/>
      </w:pPr>
      <w:rPr/>
    </w:lvl>
    <w:lvl w:ilvl="7">
      <w:start w:val="1"/>
      <w:numFmt w:val="lowerLetter"/>
      <w:suff w:val="tab"/>
      <w:lvlText w:val="%8."/>
      <w:lvlJc w:val="left"/>
      <w:pPr>
        <w:ind w:left="5608" w:hanging="0"/>
      </w:pPr>
      <w:rPr/>
    </w:lvl>
    <w:lvl w:ilvl="8">
      <w:start w:val="1"/>
      <w:numFmt w:val="lowerRoman"/>
      <w:suff w:val="tab"/>
      <w:lvlText w:val="%9."/>
      <w:lvlJc w:val="left"/>
      <w:pPr>
        <w:ind w:left="6508" w:hanging="0"/>
      </w:pPr>
      <w:rPr/>
    </w:lvl>
  </w:abstractNum>
  <w:abstractNum w:abstractNumId="8">
    <w:multiLevelType w:val="hybridMultilevel"/>
    <w:name w:val="Нумерованный список 8"/>
    <w:lvl w:ilvl="0">
      <w:start w:val="1"/>
      <w:numFmt w:val="decimal"/>
      <w:suff w:val="tab"/>
      <w:lvlText w:val="%1."/>
      <w:lvlJc w:val="left"/>
      <w:pPr>
        <w:ind w:left="0" w:hanging="0"/>
      </w:pPr>
      <w:rPr/>
    </w:lvl>
    <w:lvl w:ilvl="1">
      <w:start w:val="1"/>
      <w:numFmt w:val="decimal"/>
      <w:suff w:val="tab"/>
      <w:lvlText w:val="%1.%2."/>
      <w:lvlJc w:val="left"/>
      <w:pPr>
        <w:ind w:left="709" w:hanging="0"/>
      </w:pPr>
      <w:rPr/>
    </w:lvl>
    <w:lvl w:ilvl="2">
      <w:start w:val="1"/>
      <w:numFmt w:val="decimal"/>
      <w:suff w:val="tab"/>
      <w:lvlText w:val="%1.%2.%3."/>
      <w:lvlJc w:val="left"/>
      <w:pPr>
        <w:ind w:left="1418" w:hanging="0"/>
      </w:pPr>
      <w:rPr/>
    </w:lvl>
    <w:lvl w:ilvl="3">
      <w:start w:val="1"/>
      <w:numFmt w:val="decimal"/>
      <w:suff w:val="tab"/>
      <w:lvlText w:val="%1.%2.%3.%4."/>
      <w:lvlJc w:val="left"/>
      <w:pPr>
        <w:ind w:left="2127" w:hanging="0"/>
      </w:pPr>
      <w:rPr/>
    </w:lvl>
    <w:lvl w:ilvl="4">
      <w:start w:val="1"/>
      <w:numFmt w:val="decimal"/>
      <w:suff w:val="tab"/>
      <w:lvlText w:val="%1.%2.%3.%4.%5."/>
      <w:lvlJc w:val="left"/>
      <w:pPr>
        <w:ind w:left="2836" w:hanging="0"/>
      </w:pPr>
      <w:rPr/>
    </w:lvl>
    <w:lvl w:ilvl="5">
      <w:start w:val="1"/>
      <w:numFmt w:val="decimal"/>
      <w:suff w:val="tab"/>
      <w:lvlText w:val="%1.%2.%3.%4.%5.%6."/>
      <w:lvlJc w:val="left"/>
      <w:pPr>
        <w:ind w:left="3545" w:hanging="0"/>
      </w:pPr>
      <w:rPr/>
    </w:lvl>
    <w:lvl w:ilvl="6">
      <w:start w:val="1"/>
      <w:numFmt w:val="decimal"/>
      <w:suff w:val="tab"/>
      <w:lvlText w:val="%1.%2.%3.%4.%5.%6.%7."/>
      <w:lvlJc w:val="left"/>
      <w:pPr>
        <w:ind w:left="4254" w:hanging="0"/>
      </w:pPr>
      <w:rPr/>
    </w:lvl>
    <w:lvl w:ilvl="7">
      <w:start w:val="1"/>
      <w:numFmt w:val="decimal"/>
      <w:suff w:val="tab"/>
      <w:lvlText w:val="%1.%2.%3.%4.%5.%6.%7.%8."/>
      <w:lvlJc w:val="left"/>
      <w:pPr>
        <w:ind w:left="4963" w:hanging="0"/>
      </w:pPr>
      <w:rPr/>
    </w:lvl>
    <w:lvl w:ilvl="8">
      <w:start w:val="1"/>
      <w:numFmt w:val="decimal"/>
      <w:suff w:val="tab"/>
      <w:lvlText w:val="%1.%2.%3.%4.%5.%6.%7.%8.%9."/>
      <w:lvlJc w:val="left"/>
      <w:pPr>
        <w:ind w:left="5672" w:hanging="0"/>
      </w:pPr>
      <w:rPr/>
    </w:lvl>
  </w:abstractNum>
  <w:abstractNum w:abstractNumId="9">
    <w:multiLevelType w:val="hybridMultilevel"/>
    <w:name w:val="Нумерованный список 9"/>
    <w:lvl w:ilvl="0">
      <w:start w:val="1"/>
      <w:numFmt w:val="decimal"/>
      <w:suff w:val="tab"/>
      <w:lvlText w:val="%1."/>
      <w:lvlJc w:val="left"/>
      <w:pPr>
        <w:ind w:left="709" w:hanging="0"/>
      </w:pPr>
      <w:rPr/>
    </w:lvl>
    <w:lvl w:ilvl="1">
      <w:start w:val="1"/>
      <w:numFmt w:val="decimal"/>
      <w:suff w:val="tab"/>
      <w:lvlText w:val="%1.%2."/>
      <w:lvlJc w:val="left"/>
      <w:pPr>
        <w:ind w:left="1069" w:hanging="0"/>
      </w:pPr>
      <w:rPr/>
    </w:lvl>
    <w:lvl w:ilvl="2">
      <w:start w:val="1"/>
      <w:numFmt w:val="decimal"/>
      <w:suff w:val="tab"/>
      <w:lvlText w:val="%1.%2.%3."/>
      <w:lvlJc w:val="left"/>
      <w:pPr>
        <w:ind w:left="1429" w:hanging="0"/>
      </w:pPr>
      <w:rPr/>
    </w:lvl>
    <w:lvl w:ilvl="3">
      <w:start w:val="1"/>
      <w:numFmt w:val="decimal"/>
      <w:suff w:val="tab"/>
      <w:lvlText w:val="%1.%2.%3.%4."/>
      <w:lvlJc w:val="left"/>
      <w:pPr>
        <w:ind w:left="1789" w:hanging="0"/>
      </w:pPr>
      <w:rPr/>
    </w:lvl>
    <w:lvl w:ilvl="4">
      <w:start w:val="1"/>
      <w:numFmt w:val="decimal"/>
      <w:suff w:val="tab"/>
      <w:lvlText w:val="%1.%2.%3.%4.%5."/>
      <w:lvlJc w:val="left"/>
      <w:pPr>
        <w:ind w:left="2149" w:hanging="0"/>
      </w:pPr>
      <w:rPr/>
    </w:lvl>
    <w:lvl w:ilvl="5">
      <w:start w:val="1"/>
      <w:numFmt w:val="decimal"/>
      <w:suff w:val="tab"/>
      <w:lvlText w:val="%1.%2.%3.%4.%5.%6."/>
      <w:lvlJc w:val="left"/>
      <w:pPr>
        <w:ind w:left="2509" w:hanging="0"/>
      </w:pPr>
      <w:rPr/>
    </w:lvl>
    <w:lvl w:ilvl="6">
      <w:start w:val="1"/>
      <w:numFmt w:val="decimal"/>
      <w:suff w:val="tab"/>
      <w:lvlText w:val="%1.%2.%3.%4.%5.%6.%7."/>
      <w:lvlJc w:val="left"/>
      <w:pPr>
        <w:ind w:left="2869" w:hanging="0"/>
      </w:pPr>
      <w:rPr/>
    </w:lvl>
    <w:lvl w:ilvl="7">
      <w:start w:val="1"/>
      <w:numFmt w:val="decimal"/>
      <w:suff w:val="tab"/>
      <w:lvlText w:val="%1.%2.%3.%4.%5.%6.%7.%8."/>
      <w:lvlJc w:val="left"/>
      <w:pPr>
        <w:ind w:left="3229" w:hanging="0"/>
      </w:pPr>
      <w:rPr/>
    </w:lvl>
    <w:lvl w:ilvl="8">
      <w:start w:val="1"/>
      <w:numFmt w:val="decimal"/>
      <w:suff w:val="tab"/>
      <w:lvlText w:val="%1.%2.%3.%4.%5.%6.%7.%8.%9."/>
      <w:lvlJc w:val="left"/>
      <w:pPr>
        <w:ind w:left="3589" w:hanging="0"/>
      </w:pPr>
      <w:rPr/>
    </w:lvl>
  </w:abstractNum>
  <w:abstractNum w:abstractNumId="10">
    <w:multiLevelType w:val="hybridMultilevel"/>
    <w:name w:val="Нумерованный список 10"/>
    <w:lvl w:ilvl="0">
      <w:start w:val="1"/>
      <w:numFmt w:val="decimal"/>
      <w:suff w:val="tab"/>
      <w:lvlText w:val="2.%1"/>
      <w:lvlJc w:val="left"/>
      <w:pPr>
        <w:ind w:left="1211" w:hanging="0"/>
      </w:pPr>
      <w:rPr/>
    </w:lvl>
    <w:lvl w:ilvl="1">
      <w:start w:val="1"/>
      <w:numFmt w:val="lowerLetter"/>
      <w:suff w:val="tab"/>
      <w:lvlText w:val="%2."/>
      <w:lvlJc w:val="left"/>
      <w:pPr>
        <w:ind w:left="1931" w:hanging="0"/>
      </w:pPr>
      <w:rPr/>
    </w:lvl>
    <w:lvl w:ilvl="2">
      <w:start w:val="1"/>
      <w:numFmt w:val="lowerRoman"/>
      <w:suff w:val="tab"/>
      <w:lvlText w:val="%3."/>
      <w:lvlJc w:val="left"/>
      <w:pPr>
        <w:ind w:left="2831" w:hanging="0"/>
      </w:pPr>
      <w:rPr/>
    </w:lvl>
    <w:lvl w:ilvl="3">
      <w:start w:val="1"/>
      <w:numFmt w:val="decimal"/>
      <w:suff w:val="tab"/>
      <w:lvlText w:val="%4."/>
      <w:lvlJc w:val="left"/>
      <w:pPr>
        <w:ind w:left="3371" w:hanging="0"/>
      </w:pPr>
      <w:rPr/>
    </w:lvl>
    <w:lvl w:ilvl="4">
      <w:start w:val="1"/>
      <w:numFmt w:val="lowerLetter"/>
      <w:suff w:val="tab"/>
      <w:lvlText w:val="%5."/>
      <w:lvlJc w:val="left"/>
      <w:pPr>
        <w:ind w:left="4091" w:hanging="0"/>
      </w:pPr>
      <w:rPr/>
    </w:lvl>
    <w:lvl w:ilvl="5">
      <w:start w:val="1"/>
      <w:numFmt w:val="lowerRoman"/>
      <w:suff w:val="tab"/>
      <w:lvlText w:val="%6."/>
      <w:lvlJc w:val="left"/>
      <w:pPr>
        <w:ind w:left="4991" w:hanging="0"/>
      </w:pPr>
      <w:rPr/>
    </w:lvl>
    <w:lvl w:ilvl="6">
      <w:start w:val="1"/>
      <w:numFmt w:val="decimal"/>
      <w:suff w:val="tab"/>
      <w:lvlText w:val="%7."/>
      <w:lvlJc w:val="left"/>
      <w:pPr>
        <w:ind w:left="5531" w:hanging="0"/>
      </w:pPr>
      <w:rPr/>
    </w:lvl>
    <w:lvl w:ilvl="7">
      <w:start w:val="1"/>
      <w:numFmt w:val="lowerLetter"/>
      <w:suff w:val="tab"/>
      <w:lvlText w:val="%8."/>
      <w:lvlJc w:val="left"/>
      <w:pPr>
        <w:ind w:left="6251" w:hanging="0"/>
      </w:pPr>
      <w:rPr/>
    </w:lvl>
    <w:lvl w:ilvl="8">
      <w:start w:val="1"/>
      <w:numFmt w:val="lowerRoman"/>
      <w:suff w:val="tab"/>
      <w:lvlText w:val="%9."/>
      <w:lvlJc w:val="left"/>
      <w:pPr>
        <w:ind w:left="7151" w:hanging="0"/>
      </w:pPr>
      <w:rPr/>
    </w:lvl>
  </w:abstractNum>
  <w:abstractNum w:abstractNumId="11">
    <w:multiLevelType w:val="hybridMultilevel"/>
    <w:name w:val="Нумерованный список 11"/>
    <w:lvl w:ilvl="0">
      <w:start w:val="1"/>
      <w:numFmt w:val="decimal"/>
      <w:suff w:val="tab"/>
      <w:lvlText w:val="%1."/>
      <w:lvlJc w:val="left"/>
      <w:pPr>
        <w:ind w:left="0" w:hanging="0"/>
      </w:pPr>
      <w:rPr/>
    </w:lvl>
    <w:lvl w:ilvl="1">
      <w:start w:val="1"/>
      <w:numFmt w:val="decimal"/>
      <w:suff w:val="tab"/>
      <w:lvlText w:val="%1.%2."/>
      <w:lvlJc w:val="left"/>
      <w:pPr>
        <w:ind w:left="360" w:hanging="0"/>
      </w:pPr>
      <w:rPr/>
    </w:lvl>
    <w:lvl w:ilvl="2">
      <w:start w:val="1"/>
      <w:numFmt w:val="decimal"/>
      <w:suff w:val="tab"/>
      <w:lvlText w:val="%1.%2.%3."/>
      <w:lvlJc w:val="left"/>
      <w:pPr>
        <w:ind w:left="720" w:hanging="0"/>
      </w:pPr>
      <w:rPr/>
    </w:lvl>
    <w:lvl w:ilvl="3">
      <w:start w:val="1"/>
      <w:numFmt w:val="decimal"/>
      <w:suff w:val="tab"/>
      <w:lvlText w:val="%1.%2.%3.%4."/>
      <w:lvlJc w:val="left"/>
      <w:pPr>
        <w:ind w:left="1080" w:hanging="0"/>
      </w:pPr>
      <w:rPr/>
    </w:lvl>
    <w:lvl w:ilvl="4">
      <w:start w:val="1"/>
      <w:numFmt w:val="decimal"/>
      <w:suff w:val="tab"/>
      <w:lvlText w:val="%1.%2.%3.%4.%5."/>
      <w:lvlJc w:val="left"/>
      <w:pPr>
        <w:ind w:left="1440" w:hanging="0"/>
      </w:pPr>
      <w:rPr/>
    </w:lvl>
    <w:lvl w:ilvl="5">
      <w:start w:val="1"/>
      <w:numFmt w:val="decimal"/>
      <w:suff w:val="tab"/>
      <w:lvlText w:val="%1.%2.%3.%4.%5.%6."/>
      <w:lvlJc w:val="left"/>
      <w:pPr>
        <w:ind w:left="1800" w:hanging="0"/>
      </w:pPr>
      <w:rPr/>
    </w:lvl>
    <w:lvl w:ilvl="6">
      <w:start w:val="1"/>
      <w:numFmt w:val="decimal"/>
      <w:suff w:val="tab"/>
      <w:lvlText w:val="%1.%2.%3.%4.%5.%6.%7."/>
      <w:lvlJc w:val="left"/>
      <w:pPr>
        <w:ind w:left="2160" w:hanging="0"/>
      </w:pPr>
      <w:rPr/>
    </w:lvl>
    <w:lvl w:ilvl="7">
      <w:start w:val="1"/>
      <w:numFmt w:val="decimal"/>
      <w:suff w:val="tab"/>
      <w:lvlText w:val="%1.%2.%3.%4.%5.%6.%7.%8."/>
      <w:lvlJc w:val="left"/>
      <w:pPr>
        <w:ind w:left="2520" w:hanging="0"/>
      </w:pPr>
      <w:rPr/>
    </w:lvl>
    <w:lvl w:ilvl="8">
      <w:start w:val="1"/>
      <w:numFmt w:val="decimal"/>
      <w:suff w:val="tab"/>
      <w:lvlText w:val="%1.%2.%3.%4.%5.%6.%7.%8.%9."/>
      <w:lvlJc w:val="left"/>
      <w:pPr>
        <w:ind w:left="2880" w:hanging="0"/>
      </w:pPr>
      <w:rPr/>
    </w:lvl>
  </w:abstractNum>
  <w:abstractNum w:abstractNumId="12">
    <w:multiLevelType w:val="hybridMultilevel"/>
    <w:name w:val="Нумерованный список 12"/>
    <w:lvl w:ilvl="0">
      <w:start w:val="1"/>
      <w:numFmt w:val="decimal"/>
      <w:suff w:val="tab"/>
      <w:lvlText w:val="%1."/>
      <w:lvlJc w:val="left"/>
      <w:pPr>
        <w:ind w:left="851" w:hanging="0"/>
      </w:pPr>
      <w:rPr/>
    </w:lvl>
    <w:lvl w:ilvl="1">
      <w:start w:val="1"/>
      <w:numFmt w:val="lowerLetter"/>
      <w:suff w:val="tab"/>
      <w:lvlText w:val="%2."/>
      <w:lvlJc w:val="left"/>
      <w:pPr>
        <w:ind w:left="1571" w:hanging="0"/>
      </w:pPr>
      <w:rPr/>
    </w:lvl>
    <w:lvl w:ilvl="2">
      <w:start w:val="1"/>
      <w:numFmt w:val="lowerRoman"/>
      <w:suff w:val="tab"/>
      <w:lvlText w:val="%3."/>
      <w:lvlJc w:val="left"/>
      <w:pPr>
        <w:ind w:left="2471" w:hanging="0"/>
      </w:pPr>
      <w:rPr/>
    </w:lvl>
    <w:lvl w:ilvl="3">
      <w:start w:val="1"/>
      <w:numFmt w:val="decimal"/>
      <w:suff w:val="tab"/>
      <w:lvlText w:val="%4."/>
      <w:lvlJc w:val="left"/>
      <w:pPr>
        <w:ind w:left="3011" w:hanging="0"/>
      </w:pPr>
      <w:rPr/>
    </w:lvl>
    <w:lvl w:ilvl="4">
      <w:start w:val="1"/>
      <w:numFmt w:val="lowerLetter"/>
      <w:suff w:val="tab"/>
      <w:lvlText w:val="%5."/>
      <w:lvlJc w:val="left"/>
      <w:pPr>
        <w:ind w:left="3731" w:hanging="0"/>
      </w:pPr>
      <w:rPr/>
    </w:lvl>
    <w:lvl w:ilvl="5">
      <w:start w:val="1"/>
      <w:numFmt w:val="lowerRoman"/>
      <w:suff w:val="tab"/>
      <w:lvlText w:val="%6."/>
      <w:lvlJc w:val="left"/>
      <w:pPr>
        <w:ind w:left="4631" w:hanging="0"/>
      </w:pPr>
      <w:rPr/>
    </w:lvl>
    <w:lvl w:ilvl="6">
      <w:start w:val="1"/>
      <w:numFmt w:val="decimal"/>
      <w:suff w:val="tab"/>
      <w:lvlText w:val="%7."/>
      <w:lvlJc w:val="left"/>
      <w:pPr>
        <w:ind w:left="5171" w:hanging="0"/>
      </w:pPr>
      <w:rPr/>
    </w:lvl>
    <w:lvl w:ilvl="7">
      <w:start w:val="1"/>
      <w:numFmt w:val="lowerLetter"/>
      <w:suff w:val="tab"/>
      <w:lvlText w:val="%8."/>
      <w:lvlJc w:val="left"/>
      <w:pPr>
        <w:ind w:left="5891" w:hanging="0"/>
      </w:pPr>
      <w:rPr/>
    </w:lvl>
    <w:lvl w:ilvl="8">
      <w:start w:val="1"/>
      <w:numFmt w:val="lowerRoman"/>
      <w:suff w:val="tab"/>
      <w:lvlText w:val="%9."/>
      <w:lvlJc w:val="left"/>
      <w:pPr>
        <w:ind w:left="6791" w:hanging="0"/>
      </w:pPr>
      <w:rPr/>
    </w:lvl>
  </w:abstractNum>
  <w:abstractNum w:abstractNumId="13">
    <w:multiLevelType w:val="hybridMultilevel"/>
    <w:name w:val="Нумерованный список 13"/>
    <w:lvl w:ilvl="0">
      <w:start w:val="1"/>
      <w:numFmt w:val="decimal"/>
      <w:suff w:val="tab"/>
      <w:lvlText w:val="%1."/>
      <w:lvlJc w:val="left"/>
      <w:pPr>
        <w:ind w:left="709" w:hanging="0"/>
      </w:pPr>
      <w:rPr>
        <w:rPr>
          <w:b/>
        </w:rPr>
      </w:rPr>
    </w:lvl>
    <w:lvl w:ilvl="1">
      <w:start w:val="1"/>
      <w:numFmt w:val="lowerLetter"/>
      <w:suff w:val="tab"/>
      <w:lvlText w:val="%2."/>
      <w:lvlJc w:val="left"/>
      <w:pPr>
        <w:ind w:left="1429" w:hanging="0"/>
      </w:pPr>
      <w:rPr/>
    </w:lvl>
    <w:lvl w:ilvl="2">
      <w:start w:val="1"/>
      <w:numFmt w:val="lowerRoman"/>
      <w:suff w:val="tab"/>
      <w:lvlText w:val="%3."/>
      <w:lvlJc w:val="left"/>
      <w:pPr>
        <w:ind w:left="2329" w:hanging="0"/>
      </w:pPr>
      <w:rPr/>
    </w:lvl>
    <w:lvl w:ilvl="3">
      <w:start w:val="1"/>
      <w:numFmt w:val="decimal"/>
      <w:suff w:val="tab"/>
      <w:lvlText w:val="%4."/>
      <w:lvlJc w:val="left"/>
      <w:pPr>
        <w:ind w:left="2869" w:hanging="0"/>
      </w:pPr>
      <w:rPr/>
    </w:lvl>
    <w:lvl w:ilvl="4">
      <w:start w:val="1"/>
      <w:numFmt w:val="lowerLetter"/>
      <w:suff w:val="tab"/>
      <w:lvlText w:val="%5."/>
      <w:lvlJc w:val="left"/>
      <w:pPr>
        <w:ind w:left="3589" w:hanging="0"/>
      </w:pPr>
      <w:rPr/>
    </w:lvl>
    <w:lvl w:ilvl="5">
      <w:start w:val="1"/>
      <w:numFmt w:val="lowerRoman"/>
      <w:suff w:val="tab"/>
      <w:lvlText w:val="%6."/>
      <w:lvlJc w:val="left"/>
      <w:pPr>
        <w:ind w:left="4489" w:hanging="0"/>
      </w:pPr>
      <w:rPr/>
    </w:lvl>
    <w:lvl w:ilvl="6">
      <w:start w:val="1"/>
      <w:numFmt w:val="decimal"/>
      <w:suff w:val="tab"/>
      <w:lvlText w:val="%7."/>
      <w:lvlJc w:val="left"/>
      <w:pPr>
        <w:ind w:left="5029" w:hanging="0"/>
      </w:pPr>
      <w:rPr/>
    </w:lvl>
    <w:lvl w:ilvl="7">
      <w:start w:val="1"/>
      <w:numFmt w:val="lowerLetter"/>
      <w:suff w:val="tab"/>
      <w:lvlText w:val="%8."/>
      <w:lvlJc w:val="left"/>
      <w:pPr>
        <w:ind w:left="5749" w:hanging="0"/>
      </w:pPr>
      <w:rPr/>
    </w:lvl>
    <w:lvl w:ilvl="8">
      <w:start w:val="1"/>
      <w:numFmt w:val="lowerRoman"/>
      <w:suff w:val="tab"/>
      <w:lvlText w:val="%9."/>
      <w:lvlJc w:val="left"/>
      <w:pPr>
        <w:ind w:left="6649" w:hanging="0"/>
      </w:pPr>
      <w:rPr/>
    </w:lvl>
  </w:abstractNum>
  <w:abstractNum w:abstractNumId="14">
    <w:multiLevelType w:val="hybridMultilevel"/>
    <w:name w:val="Нумерованный список 14"/>
    <w:lvl w:ilvl="0">
      <w:start w:val="1"/>
      <w:numFmt w:val="decimal"/>
      <w:suff w:val="tab"/>
      <w:lvlText w:val="%1."/>
      <w:lvlJc w:val="left"/>
      <w:pPr>
        <w:ind w:left="0" w:hanging="0"/>
      </w:pPr>
      <w:rPr/>
    </w:lvl>
    <w:lvl w:ilvl="1">
      <w:start w:val="1"/>
      <w:numFmt w:val="decimal"/>
      <w:suff w:val="tab"/>
      <w:lvlText w:val="%1.%2."/>
      <w:lvlJc w:val="left"/>
      <w:pPr>
        <w:ind w:left="709" w:hanging="0"/>
      </w:pPr>
      <w:rPr/>
    </w:lvl>
    <w:lvl w:ilvl="2">
      <w:start w:val="1"/>
      <w:numFmt w:val="decimal"/>
      <w:suff w:val="tab"/>
      <w:lvlText w:val="%1.%2.%3."/>
      <w:lvlJc w:val="left"/>
      <w:pPr>
        <w:ind w:left="1418" w:hanging="0"/>
      </w:pPr>
      <w:rPr/>
    </w:lvl>
    <w:lvl w:ilvl="3">
      <w:start w:val="1"/>
      <w:numFmt w:val="decimal"/>
      <w:suff w:val="tab"/>
      <w:lvlText w:val="%1.%2.%3.%4."/>
      <w:lvlJc w:val="left"/>
      <w:pPr>
        <w:ind w:left="2127" w:hanging="0"/>
      </w:pPr>
      <w:rPr/>
    </w:lvl>
    <w:lvl w:ilvl="4">
      <w:start w:val="1"/>
      <w:numFmt w:val="decimal"/>
      <w:suff w:val="tab"/>
      <w:lvlText w:val="%1.%2.%3.%4.%5."/>
      <w:lvlJc w:val="left"/>
      <w:pPr>
        <w:ind w:left="2836" w:hanging="0"/>
      </w:pPr>
      <w:rPr/>
    </w:lvl>
    <w:lvl w:ilvl="5">
      <w:start w:val="1"/>
      <w:numFmt w:val="decimal"/>
      <w:suff w:val="tab"/>
      <w:lvlText w:val="%1.%2.%3.%4.%5.%6."/>
      <w:lvlJc w:val="left"/>
      <w:pPr>
        <w:ind w:left="3545" w:hanging="0"/>
      </w:pPr>
      <w:rPr/>
    </w:lvl>
    <w:lvl w:ilvl="6">
      <w:start w:val="1"/>
      <w:numFmt w:val="decimal"/>
      <w:suff w:val="tab"/>
      <w:lvlText w:val="%1.%2.%3.%4.%5.%6.%7."/>
      <w:lvlJc w:val="left"/>
      <w:pPr>
        <w:ind w:left="4254" w:hanging="0"/>
      </w:pPr>
      <w:rPr/>
    </w:lvl>
    <w:lvl w:ilvl="7">
      <w:start w:val="1"/>
      <w:numFmt w:val="decimal"/>
      <w:suff w:val="tab"/>
      <w:lvlText w:val="%1.%2.%3.%4.%5.%6.%7.%8."/>
      <w:lvlJc w:val="left"/>
      <w:pPr>
        <w:ind w:left="4963" w:hanging="0"/>
      </w:pPr>
      <w:rPr/>
    </w:lvl>
    <w:lvl w:ilvl="8">
      <w:start w:val="1"/>
      <w:numFmt w:val="decimal"/>
      <w:suff w:val="tab"/>
      <w:lvlText w:val="%1.%2.%3.%4.%5.%6.%7.%8.%9."/>
      <w:lvlJc w:val="left"/>
      <w:pPr>
        <w:ind w:left="5672" w:hanging="0"/>
      </w:pPr>
      <w:rPr/>
    </w:lvl>
  </w:abstractNum>
  <w:abstractNum w:abstractNumId="15">
    <w:multiLevelType w:val="hybridMultilevel"/>
    <w:name w:val="Нумерованный список 15"/>
    <w:lvl w:ilvl="0">
      <w:start w:val="1"/>
      <w:numFmt w:val="decimal"/>
      <w:suff w:val="tab"/>
      <w:lvlText w:val="%1."/>
      <w:lvlJc w:val="left"/>
      <w:pPr>
        <w:ind w:left="568" w:hanging="0"/>
      </w:pPr>
      <w:rPr/>
    </w:lvl>
    <w:lvl w:ilvl="1">
      <w:start w:val="1"/>
      <w:numFmt w:val="lowerLetter"/>
      <w:suff w:val="tab"/>
      <w:lvlText w:val="%2."/>
      <w:lvlJc w:val="left"/>
      <w:pPr>
        <w:ind w:left="1288" w:hanging="0"/>
      </w:pPr>
      <w:rPr/>
    </w:lvl>
    <w:lvl w:ilvl="2">
      <w:start w:val="1"/>
      <w:numFmt w:val="lowerRoman"/>
      <w:suff w:val="tab"/>
      <w:lvlText w:val="%3."/>
      <w:lvlJc w:val="left"/>
      <w:pPr>
        <w:ind w:left="2188" w:hanging="0"/>
      </w:pPr>
      <w:rPr/>
    </w:lvl>
    <w:lvl w:ilvl="3">
      <w:start w:val="1"/>
      <w:numFmt w:val="decimal"/>
      <w:suff w:val="tab"/>
      <w:lvlText w:val="%4."/>
      <w:lvlJc w:val="left"/>
      <w:pPr>
        <w:ind w:left="2728" w:hanging="0"/>
      </w:pPr>
      <w:rPr/>
    </w:lvl>
    <w:lvl w:ilvl="4">
      <w:start w:val="1"/>
      <w:numFmt w:val="lowerLetter"/>
      <w:suff w:val="tab"/>
      <w:lvlText w:val="%5."/>
      <w:lvlJc w:val="left"/>
      <w:pPr>
        <w:ind w:left="3448" w:hanging="0"/>
      </w:pPr>
      <w:rPr/>
    </w:lvl>
    <w:lvl w:ilvl="5">
      <w:start w:val="1"/>
      <w:numFmt w:val="lowerRoman"/>
      <w:suff w:val="tab"/>
      <w:lvlText w:val="%6."/>
      <w:lvlJc w:val="left"/>
      <w:pPr>
        <w:ind w:left="4348" w:hanging="0"/>
      </w:pPr>
      <w:rPr/>
    </w:lvl>
    <w:lvl w:ilvl="6">
      <w:start w:val="1"/>
      <w:numFmt w:val="decimal"/>
      <w:suff w:val="tab"/>
      <w:lvlText w:val="%7."/>
      <w:lvlJc w:val="left"/>
      <w:pPr>
        <w:ind w:left="4888" w:hanging="0"/>
      </w:pPr>
      <w:rPr/>
    </w:lvl>
    <w:lvl w:ilvl="7">
      <w:start w:val="1"/>
      <w:numFmt w:val="lowerLetter"/>
      <w:suff w:val="tab"/>
      <w:lvlText w:val="%8."/>
      <w:lvlJc w:val="left"/>
      <w:pPr>
        <w:ind w:left="5608" w:hanging="0"/>
      </w:pPr>
      <w:rPr/>
    </w:lvl>
    <w:lvl w:ilvl="8">
      <w:start w:val="1"/>
      <w:numFmt w:val="lowerRoman"/>
      <w:suff w:val="tab"/>
      <w:lvlText w:val="%9."/>
      <w:lvlJc w:val="left"/>
      <w:pPr>
        <w:ind w:left="6508" w:hanging="0"/>
      </w:pPr>
      <w:rPr/>
    </w:lvl>
  </w:abstractNum>
  <w:abstractNum w:abstractNumId="16">
    <w:multiLevelType w:val="hybridMultilevel"/>
    <w:name w:val="Нумерованный список 16"/>
    <w:lvl w:ilvl="0">
      <w:start w:val="1"/>
      <w:numFmt w:val="decimal"/>
      <w:suff w:val="tab"/>
      <w:lvlText w:val="%1."/>
      <w:lvlJc w:val="left"/>
      <w:pPr>
        <w:ind w:left="709" w:hanging="0"/>
      </w:pPr>
      <w:rPr/>
    </w:lvl>
    <w:lvl w:ilvl="1">
      <w:start w:val="1"/>
      <w:numFmt w:val="lowerLetter"/>
      <w:suff w:val="tab"/>
      <w:lvlText w:val="%2."/>
      <w:lvlJc w:val="left"/>
      <w:pPr>
        <w:ind w:left="1429" w:hanging="0"/>
      </w:pPr>
      <w:rPr/>
    </w:lvl>
    <w:lvl w:ilvl="2">
      <w:start w:val="1"/>
      <w:numFmt w:val="lowerRoman"/>
      <w:suff w:val="tab"/>
      <w:lvlText w:val="%3."/>
      <w:lvlJc w:val="left"/>
      <w:pPr>
        <w:ind w:left="2329" w:hanging="0"/>
      </w:pPr>
      <w:rPr/>
    </w:lvl>
    <w:lvl w:ilvl="3">
      <w:start w:val="1"/>
      <w:numFmt w:val="decimal"/>
      <w:suff w:val="tab"/>
      <w:lvlText w:val="%4."/>
      <w:lvlJc w:val="left"/>
      <w:pPr>
        <w:ind w:left="2869" w:hanging="0"/>
      </w:pPr>
      <w:rPr/>
    </w:lvl>
    <w:lvl w:ilvl="4">
      <w:start w:val="1"/>
      <w:numFmt w:val="lowerLetter"/>
      <w:suff w:val="tab"/>
      <w:lvlText w:val="%5."/>
      <w:lvlJc w:val="left"/>
      <w:pPr>
        <w:ind w:left="3589" w:hanging="0"/>
      </w:pPr>
      <w:rPr/>
    </w:lvl>
    <w:lvl w:ilvl="5">
      <w:start w:val="1"/>
      <w:numFmt w:val="lowerRoman"/>
      <w:suff w:val="tab"/>
      <w:lvlText w:val="%6."/>
      <w:lvlJc w:val="left"/>
      <w:pPr>
        <w:ind w:left="4489" w:hanging="0"/>
      </w:pPr>
      <w:rPr/>
    </w:lvl>
    <w:lvl w:ilvl="6">
      <w:start w:val="1"/>
      <w:numFmt w:val="decimal"/>
      <w:suff w:val="tab"/>
      <w:lvlText w:val="%7."/>
      <w:lvlJc w:val="left"/>
      <w:pPr>
        <w:ind w:left="5029" w:hanging="0"/>
      </w:pPr>
      <w:rPr/>
    </w:lvl>
    <w:lvl w:ilvl="7">
      <w:start w:val="1"/>
      <w:numFmt w:val="lowerLetter"/>
      <w:suff w:val="tab"/>
      <w:lvlText w:val="%8."/>
      <w:lvlJc w:val="left"/>
      <w:pPr>
        <w:ind w:left="5749" w:hanging="0"/>
      </w:pPr>
      <w:rPr/>
    </w:lvl>
    <w:lvl w:ilvl="8">
      <w:start w:val="1"/>
      <w:numFmt w:val="lowerRoman"/>
      <w:suff w:val="tab"/>
      <w:lvlText w:val="%9."/>
      <w:lvlJc w:val="left"/>
      <w:pPr>
        <w:ind w:left="6649"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view w:val="print"/>
  <w:defaultTabStop w:val="708"/>
  <w:autoHyphenation w:val="0"/>
  <w:doNotShadeFormData w:val="0"/>
  <w:captions>
    <w:caption w:name="Таблица" w:pos="below" w:numFmt="decimal"/>
    <w:caption w:name="Рисунок" w:pos="below" w:numFmt="decimal"/>
    <w:caption w:name="Изображение"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shapeDefaults>
    <o:shapedefaults v:ext="edit" spidmax="3073"/>
    <o:shapelayout v:ext="edit">
      <o:rules v:ext="edit"/>
    </o:shapelayout>
  </w:shapeDefaults>
  <w:tmPrefOne w:val="17"/>
  <w:tmPrefTwo w:val="1"/>
  <w:tmFmtPref w:val="55063659"/>
  <w:tmCommentsPr>
    <w:tmCommentsPlace w:val="0"/>
    <w:tmCommentsWidth w:val="3119"/>
    <w:tmCommentsColor w:val="-1"/>
  </w:tmCommentsPr>
  <w:tmReviewPr>
    <w:tmReviewEnabled w:val="0"/>
    <w:tmReviewShow w:val="1"/>
    <w:tmReviewPrint w:val="0"/>
    <w:tmRevisionNum w:val="4"/>
    <w:tmReviewMarkIns w:val="4"/>
    <w:tmReviewColorIns w:val="-1"/>
    <w:tmReviewMarkDel w:val="6"/>
    <w:tmReviewColorDel w:val="-1"/>
    <w:tmReviewMarkFmt w:val="1"/>
    <w:tmReviewColorFmt w:val="-1"/>
    <w:tmReviewMarkLn w:val="1"/>
    <w:tmReviewColorLn w:val="0"/>
    <w:tmReviewToolTip w:val="1"/>
  </w:tmReviewPr>
  <w:tmLastPos>
    <w:tmLastPosPage w:val="4"/>
    <w:tmLastPosSelect w:val="0"/>
    <w:tmLastPosFrameIdx w:val="0"/>
    <w:tmLastPosCaret>
      <w:tmLastPosPgfIdx w:val="61"/>
      <w:tmLastPosIdx w:val="2"/>
    </w:tmLastPosCaret>
    <w:tmLastPosAnchor>
      <w:tmLastPosPgfIdx w:val="0"/>
      <w:tmLastPosIdx w:val="0"/>
    </w:tmLastPosAnchor>
    <w:tmLastPosTblRect w:left="0" w:top="0" w:right="0" w:bottom="0"/>
  </w:tmLastPos>
  <w:tmAppRevision w:date="1556897202" w:val="917" w:fileVer="341"/>
  <w:guidesAndGrid showGuides="1" lockGuides="0" snapToGuides="1" snapToPageMargins="0" snapToOtherObjects="1" tolerance="8" gridDistanceHorizontal="283" gridDistanceVertical="283" showGrid="0" snapToGrid="0" numberOfMasterpages="3"/>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rPr>
      <w:rFonts w:ascii="NTHelvetica/Cyrillic" w:hAnsi="NTHelvetica/Cyrillic" w:eastAsia="Times New Roman"/>
      <w:sz w:val="28"/>
      <w:szCs w:val="20"/>
    </w:rPr>
  </w:style>
  <w:style w:type="paragraph" w:styleId="para4">
    <w:name w:val="heading 1"/>
    <w:qFormat/>
    <w:basedOn w:val="para0"/>
    <w:pPr>
      <w:spacing w:before="100" w:after="100" w:beforeAutospacing="1" w:afterAutospacing="1"/>
      <w:outlineLvl w:val="0"/>
    </w:pPr>
    <w:rPr>
      <w:rFonts w:ascii="Times New Roman" w:hAnsi="Times New Roman"/>
      <w:b/>
      <w:bCs/>
      <w:kern w:val="1"/>
      <w:sz w:val="48"/>
      <w:szCs w:val="48"/>
    </w:rPr>
  </w:style>
  <w:style w:type="paragraph" w:styleId="para5">
    <w:name w:val="caption"/>
    <w:qFormat/>
    <w:basedOn w:val="para0"/>
    <w:next w:val="para0"/>
    <w:pPr>
      <w:spacing/>
      <w:jc w:val="center"/>
    </w:pPr>
    <w:rPr>
      <w:rFonts w:ascii="Times New Roman" w:hAnsi="Times New Roman"/>
      <w:b/>
      <w:spacing w:val="4"/>
      <w:sz w:val="20"/>
    </w:rPr>
  </w:style>
  <w:style w:type="paragraph" w:styleId="para6">
    <w:name w:val="Balloon Text"/>
    <w:qFormat/>
    <w:basedOn w:val="para0"/>
    <w:rPr>
      <w:rFonts w:ascii="Tahoma" w:hAnsi="Tahoma" w:cs="Tahoma"/>
      <w:sz w:val="16"/>
      <w:szCs w:val="16"/>
    </w:rPr>
  </w:style>
  <w:style w:type="paragraph" w:styleId="para7">
    <w:name w:val="List Paragraph"/>
    <w:qFormat/>
    <w:basedOn w:val="para0"/>
    <w:pPr>
      <w:ind w:left="720"/>
      <w:contextualSpacing/>
    </w:pPr>
  </w:style>
  <w:style w:type="paragraph" w:styleId="para8">
    <w:name w:val="Normal (Web)"/>
    <w:qFormat/>
    <w:basedOn w:val="para0"/>
    <w:pPr>
      <w:ind w:firstLine="709"/>
      <w:spacing/>
      <w:contextualSpacing/>
      <w:jc w:val="both"/>
      <w:suppressAutoHyphens/>
      <w:hyphenationLines w:val="0"/>
    </w:pPr>
    <w:rPr>
      <w:rFonts w:ascii="Times New Roman" w:hAnsi="Times New Roman"/>
      <w:sz w:val="24"/>
      <w:szCs w:val="24"/>
    </w:rPr>
  </w:style>
  <w:style w:type="paragraph" w:styleId="para9">
    <w:name w:val="Header"/>
    <w:qFormat/>
    <w:basedOn w:val="para0"/>
    <w:pPr>
      <w:tabs>
        <w:tab w:val="center" w:pos="4677" w:leader="none"/>
        <w:tab w:val="right" w:pos="9355" w:leader="none"/>
      </w:tabs>
    </w:pPr>
  </w:style>
  <w:style w:type="paragraph" w:styleId="para10">
    <w:name w:val="Footer"/>
    <w:qFormat/>
    <w:basedOn w:val="para0"/>
    <w:pPr>
      <w:tabs>
        <w:tab w:val="center" w:pos="4677" w:leader="none"/>
        <w:tab w:val="right" w:pos="9355" w:leader="none"/>
      </w:tabs>
    </w:pPr>
  </w:style>
  <w:style w:type="paragraph" w:styleId="para11" w:customStyle="1">
    <w:name w:val="Standard"/>
    <w:qFormat/>
    <w:pPr>
      <w:suppressAutoHyphens/>
      <w:hyphenationLines w:val="0"/>
      <w:widowControl w:val="0"/>
    </w:pPr>
    <w:rPr>
      <w:rFonts w:ascii="Times New Roman" w:hAnsi="Times New Roman" w:eastAsia="Lucida Sans Unicode" w:cs="Mangal"/>
      <w:kern w:val="1"/>
      <w:sz w:val="24"/>
      <w:szCs w:val="24"/>
      <w:lang w:eastAsia="zh-cn" w:bidi="hi-in"/>
    </w:rPr>
  </w:style>
  <w:style w:type="paragraph" w:styleId="para12" w:customStyle="1">
    <w:name w:val="annotation text"/>
    <w:qFormat/>
    <w:basedOn w:val="para0"/>
    <w:rPr>
      <w:sz w:val="20"/>
    </w:rPr>
  </w:style>
  <w:style w:type="paragraph" w:styleId="para13" w:customStyle="1">
    <w:name w:val="annotation subject"/>
    <w:qFormat/>
    <w:basedOn w:val="para12"/>
    <w:next w:val="para12"/>
    <w:rPr>
      <w:b/>
      <w:bCs/>
    </w:rPr>
  </w:style>
  <w:style w:type="character" w:styleId="char0" w:default="1">
    <w:name w:val="Default Paragraph Font"/>
  </w:style>
  <w:style w:type="character" w:styleId="char1" w:customStyle="1">
    <w:name w:val="Текст выноски Знак"/>
    <w:basedOn w:val="char0"/>
    <w:rPr>
      <w:rFonts w:ascii="Tahoma" w:hAnsi="Tahoma" w:eastAsia="Times New Roman" w:cs="Tahoma"/>
      <w:sz w:val="16"/>
      <w:szCs w:val="16"/>
    </w:rPr>
  </w:style>
  <w:style w:type="character" w:styleId="char2" w:customStyle="1">
    <w:name w:val="Верхний колонтитул Знак"/>
    <w:basedOn w:val="char0"/>
    <w:rPr>
      <w:rFonts w:ascii="NTHelvetica/Cyrillic" w:hAnsi="NTHelvetica/Cyrillic" w:eastAsia="Times New Roman" w:cs="Times New Roman"/>
      <w:sz w:val="28"/>
      <w:szCs w:val="20"/>
    </w:rPr>
  </w:style>
  <w:style w:type="character" w:styleId="char3" w:customStyle="1">
    <w:name w:val="Нижний колонтитул Знак"/>
    <w:basedOn w:val="char0"/>
    <w:rPr>
      <w:rFonts w:ascii="NTHelvetica/Cyrillic" w:hAnsi="NTHelvetica/Cyrillic" w:eastAsia="Times New Roman" w:cs="Times New Roman"/>
      <w:sz w:val="28"/>
      <w:szCs w:val="20"/>
    </w:rPr>
  </w:style>
  <w:style w:type="character" w:styleId="char4">
    <w:name w:val="Hyperlink"/>
    <w:basedOn w:val="char0"/>
    <w:rPr>
      <w:color w:val="0000ff"/>
      <w:u w:color="auto" w:val="single"/>
    </w:rPr>
  </w:style>
  <w:style w:type="character" w:styleId="char5" w:customStyle="1">
    <w:name w:val="Заголовок 1 Знак"/>
    <w:basedOn w:val="char0"/>
    <w:rPr>
      <w:rFonts w:ascii="Times New Roman" w:hAnsi="Times New Roman" w:eastAsia="Times New Roman" w:cs="Times New Roman"/>
      <w:b/>
      <w:bCs/>
      <w:kern w:val="1"/>
      <w:sz w:val="48"/>
      <w:szCs w:val="48"/>
    </w:rPr>
  </w:style>
  <w:style w:type="character" w:styleId="char6" w:customStyle="1">
    <w:name w:val="Font Style12"/>
    <w:rPr>
      <w:rFonts w:ascii="Times New Roman" w:hAnsi="Times New Roman" w:cs="Times New Roman"/>
      <w:sz w:val="28"/>
      <w:szCs w:val="28"/>
    </w:rPr>
  </w:style>
  <w:style w:type="character" w:styleId="char7" w:customStyle="1">
    <w:name w:val="annotation reference"/>
    <w:basedOn w:val="char0"/>
    <w:rPr>
      <w:sz w:val="16"/>
      <w:szCs w:val="16"/>
    </w:rPr>
  </w:style>
  <w:style w:type="character" w:styleId="char8" w:customStyle="1">
    <w:name w:val="Текст примечания Знак"/>
    <w:basedOn w:val="char0"/>
    <w:rPr>
      <w:rFonts w:ascii="NTHelvetica/Cyrillic" w:hAnsi="NTHelvetica/Cyrillic" w:eastAsia="Times New Roman" w:cs="Times New Roman"/>
      <w:sz w:val="20"/>
      <w:szCs w:val="20"/>
    </w:rPr>
  </w:style>
  <w:style w:type="character" w:styleId="char9" w:customStyle="1">
    <w:name w:val="Тема примечания Знак"/>
    <w:basedOn w:val="char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rPr>
      <w:rFonts w:ascii="NTHelvetica/Cyrillic" w:hAnsi="NTHelvetica/Cyrillic" w:eastAsia="Times New Roman"/>
      <w:sz w:val="28"/>
      <w:szCs w:val="20"/>
    </w:rPr>
  </w:style>
  <w:style w:type="paragraph" w:styleId="para4">
    <w:name w:val="heading 1"/>
    <w:qFormat/>
    <w:basedOn w:val="para0"/>
    <w:pPr>
      <w:spacing w:before="100" w:after="100" w:beforeAutospacing="1" w:afterAutospacing="1"/>
      <w:outlineLvl w:val="0"/>
    </w:pPr>
    <w:rPr>
      <w:rFonts w:ascii="Times New Roman" w:hAnsi="Times New Roman"/>
      <w:b/>
      <w:bCs/>
      <w:kern w:val="1"/>
      <w:sz w:val="48"/>
      <w:szCs w:val="48"/>
    </w:rPr>
  </w:style>
  <w:style w:type="paragraph" w:styleId="para5">
    <w:name w:val="caption"/>
    <w:qFormat/>
    <w:basedOn w:val="para0"/>
    <w:next w:val="para0"/>
    <w:pPr>
      <w:spacing/>
      <w:jc w:val="center"/>
    </w:pPr>
    <w:rPr>
      <w:rFonts w:ascii="Times New Roman" w:hAnsi="Times New Roman"/>
      <w:b/>
      <w:spacing w:val="4"/>
      <w:sz w:val="20"/>
    </w:rPr>
  </w:style>
  <w:style w:type="paragraph" w:styleId="para6">
    <w:name w:val="Balloon Text"/>
    <w:qFormat/>
    <w:basedOn w:val="para0"/>
    <w:rPr>
      <w:rFonts w:ascii="Tahoma" w:hAnsi="Tahoma" w:cs="Tahoma"/>
      <w:sz w:val="16"/>
      <w:szCs w:val="16"/>
    </w:rPr>
  </w:style>
  <w:style w:type="paragraph" w:styleId="para7">
    <w:name w:val="List Paragraph"/>
    <w:qFormat/>
    <w:basedOn w:val="para0"/>
    <w:pPr>
      <w:ind w:left="720"/>
      <w:contextualSpacing/>
    </w:pPr>
  </w:style>
  <w:style w:type="paragraph" w:styleId="para8">
    <w:name w:val="Normal (Web)"/>
    <w:qFormat/>
    <w:basedOn w:val="para0"/>
    <w:pPr>
      <w:ind w:firstLine="709"/>
      <w:spacing/>
      <w:contextualSpacing/>
      <w:jc w:val="both"/>
      <w:suppressAutoHyphens/>
      <w:hyphenationLines w:val="0"/>
    </w:pPr>
    <w:rPr>
      <w:rFonts w:ascii="Times New Roman" w:hAnsi="Times New Roman"/>
      <w:sz w:val="24"/>
      <w:szCs w:val="24"/>
    </w:rPr>
  </w:style>
  <w:style w:type="paragraph" w:styleId="para9">
    <w:name w:val="Header"/>
    <w:qFormat/>
    <w:basedOn w:val="para0"/>
    <w:pPr>
      <w:tabs>
        <w:tab w:val="center" w:pos="4677" w:leader="none"/>
        <w:tab w:val="right" w:pos="9355" w:leader="none"/>
      </w:tabs>
    </w:pPr>
  </w:style>
  <w:style w:type="paragraph" w:styleId="para10">
    <w:name w:val="Footer"/>
    <w:qFormat/>
    <w:basedOn w:val="para0"/>
    <w:pPr>
      <w:tabs>
        <w:tab w:val="center" w:pos="4677" w:leader="none"/>
        <w:tab w:val="right" w:pos="9355" w:leader="none"/>
      </w:tabs>
    </w:pPr>
  </w:style>
  <w:style w:type="paragraph" w:styleId="para11" w:customStyle="1">
    <w:name w:val="Standard"/>
    <w:qFormat/>
    <w:pPr>
      <w:suppressAutoHyphens/>
      <w:hyphenationLines w:val="0"/>
      <w:widowControl w:val="0"/>
    </w:pPr>
    <w:rPr>
      <w:rFonts w:ascii="Times New Roman" w:hAnsi="Times New Roman" w:eastAsia="Lucida Sans Unicode" w:cs="Mangal"/>
      <w:kern w:val="1"/>
      <w:sz w:val="24"/>
      <w:szCs w:val="24"/>
      <w:lang w:eastAsia="zh-cn" w:bidi="hi-in"/>
    </w:rPr>
  </w:style>
  <w:style w:type="paragraph" w:styleId="para12" w:customStyle="1">
    <w:name w:val="annotation text"/>
    <w:qFormat/>
    <w:basedOn w:val="para0"/>
    <w:rPr>
      <w:sz w:val="20"/>
    </w:rPr>
  </w:style>
  <w:style w:type="paragraph" w:styleId="para13" w:customStyle="1">
    <w:name w:val="annotation subject"/>
    <w:qFormat/>
    <w:basedOn w:val="para12"/>
    <w:next w:val="para12"/>
    <w:rPr>
      <w:b/>
      <w:bCs/>
    </w:rPr>
  </w:style>
  <w:style w:type="character" w:styleId="char0" w:default="1">
    <w:name w:val="Default Paragraph Font"/>
  </w:style>
  <w:style w:type="character" w:styleId="char1" w:customStyle="1">
    <w:name w:val="Текст выноски Знак"/>
    <w:basedOn w:val="char0"/>
    <w:rPr>
      <w:rFonts w:ascii="Tahoma" w:hAnsi="Tahoma" w:eastAsia="Times New Roman" w:cs="Tahoma"/>
      <w:sz w:val="16"/>
      <w:szCs w:val="16"/>
    </w:rPr>
  </w:style>
  <w:style w:type="character" w:styleId="char2" w:customStyle="1">
    <w:name w:val="Верхний колонтитул Знак"/>
    <w:basedOn w:val="char0"/>
    <w:rPr>
      <w:rFonts w:ascii="NTHelvetica/Cyrillic" w:hAnsi="NTHelvetica/Cyrillic" w:eastAsia="Times New Roman" w:cs="Times New Roman"/>
      <w:sz w:val="28"/>
      <w:szCs w:val="20"/>
    </w:rPr>
  </w:style>
  <w:style w:type="character" w:styleId="char3" w:customStyle="1">
    <w:name w:val="Нижний колонтитул Знак"/>
    <w:basedOn w:val="char0"/>
    <w:rPr>
      <w:rFonts w:ascii="NTHelvetica/Cyrillic" w:hAnsi="NTHelvetica/Cyrillic" w:eastAsia="Times New Roman" w:cs="Times New Roman"/>
      <w:sz w:val="28"/>
      <w:szCs w:val="20"/>
    </w:rPr>
  </w:style>
  <w:style w:type="character" w:styleId="char4">
    <w:name w:val="Hyperlink"/>
    <w:basedOn w:val="char0"/>
    <w:rPr>
      <w:color w:val="0000ff"/>
      <w:u w:color="auto" w:val="single"/>
    </w:rPr>
  </w:style>
  <w:style w:type="character" w:styleId="char5" w:customStyle="1">
    <w:name w:val="Заголовок 1 Знак"/>
    <w:basedOn w:val="char0"/>
    <w:rPr>
      <w:rFonts w:ascii="Times New Roman" w:hAnsi="Times New Roman" w:eastAsia="Times New Roman" w:cs="Times New Roman"/>
      <w:b/>
      <w:bCs/>
      <w:kern w:val="1"/>
      <w:sz w:val="48"/>
      <w:szCs w:val="48"/>
    </w:rPr>
  </w:style>
  <w:style w:type="character" w:styleId="char6" w:customStyle="1">
    <w:name w:val="Font Style12"/>
    <w:rPr>
      <w:rFonts w:ascii="Times New Roman" w:hAnsi="Times New Roman" w:cs="Times New Roman"/>
      <w:sz w:val="28"/>
      <w:szCs w:val="28"/>
    </w:rPr>
  </w:style>
  <w:style w:type="character" w:styleId="char7" w:customStyle="1">
    <w:name w:val="annotation reference"/>
    <w:basedOn w:val="char0"/>
    <w:rPr>
      <w:sz w:val="16"/>
      <w:szCs w:val="16"/>
    </w:rPr>
  </w:style>
  <w:style w:type="character" w:styleId="char8" w:customStyle="1">
    <w:name w:val="Текст примечания Знак"/>
    <w:basedOn w:val="char0"/>
    <w:rPr>
      <w:rFonts w:ascii="NTHelvetica/Cyrillic" w:hAnsi="NTHelvetica/Cyrillic" w:eastAsia="Times New Roman" w:cs="Times New Roman"/>
      <w:sz w:val="20"/>
      <w:szCs w:val="20"/>
    </w:rPr>
  </w:style>
  <w:style w:type="character" w:styleId="char9" w:customStyle="1">
    <w:name w:val="Тема примечания Знак"/>
    <w:basedOn w:val="char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jpeg"/><Relationship Id="rId9" Type="http://schemas.openxmlformats.org/officeDocument/2006/relationships/image" Target="media/image1.jpeg"/><Relationship Id="rId10" Type="http://schemas.openxmlformats.org/officeDocument/2006/relationships/hyperlink" Target="mailto:(polarvillage51@gmail.com" TargetMode="External"/><Relationship Id="rId11" Type="http://schemas.openxmlformats.org/officeDocument/2006/relationships/header" Target="header1.xml"/><Relationship Id="rId1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D5D5D5"/>
      </a:dk1>
      <a:lt1>
        <a:sysClr val="window" lastClr="49494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NTHelvetica/Cyrillic"/>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2018 rev.917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Зеленская Анна Евгеньевна</dc:creator>
  <cp:keywords/>
  <dc:description/>
  <cp:lastModifiedBy/>
  <cp:revision>4</cp:revision>
  <cp:lastPrinted>2017-12-13T08:04:00Z</cp:lastPrinted>
  <dcterms:created xsi:type="dcterms:W3CDTF">2019-04-29T07:11:00Z</dcterms:created>
  <dcterms:modified xsi:type="dcterms:W3CDTF">2019-05-03T15:26:42Z</dcterms:modified>
</cp:coreProperties>
</file>